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3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1"/>
          <w:rFonts w:hint="eastAsia" w:ascii="方正小标宋简体" w:hAnsi="方正小标宋简体" w:eastAsia="方正小标宋简体" w:cs="方正小标宋简体"/>
          <w:b w:val="0"/>
          <w:color w:val="333333"/>
          <w:sz w:val="36"/>
          <w:szCs w:val="36"/>
        </w:rPr>
      </w:pPr>
      <w:r>
        <w:rPr>
          <w:rStyle w:val="11"/>
          <w:rFonts w:hint="eastAsia" w:ascii="方正小标宋简体" w:hAnsi="方正小标宋简体" w:eastAsia="方正小标宋简体" w:cs="方正小标宋简体"/>
          <w:b w:val="0"/>
          <w:color w:val="333333"/>
          <w:sz w:val="36"/>
          <w:szCs w:val="36"/>
        </w:rPr>
        <w:t>山东旅游职业学院</w:t>
      </w:r>
    </w:p>
    <w:p w14:paraId="6EE6B02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Style w:val="11"/>
          <w:rFonts w:hint="eastAsia" w:ascii="方正小标宋简体" w:hAnsi="方正小标宋简体" w:eastAsia="方正小标宋简体" w:cs="方正小标宋简体"/>
          <w:b w:val="0"/>
          <w:color w:val="333333"/>
          <w:sz w:val="36"/>
          <w:szCs w:val="36"/>
        </w:rPr>
      </w:pPr>
      <w:r>
        <w:rPr>
          <w:rStyle w:val="11"/>
          <w:rFonts w:hint="eastAsia" w:ascii="方正小标宋简体" w:hAnsi="方正小标宋简体" w:eastAsia="方正小标宋简体" w:cs="方正小标宋简体"/>
          <w:b w:val="0"/>
          <w:color w:val="333333"/>
          <w:sz w:val="36"/>
          <w:szCs w:val="36"/>
          <w:lang w:val="en-US" w:eastAsia="zh-CN"/>
        </w:rPr>
        <w:t>2024</w:t>
      </w:r>
      <w:r>
        <w:rPr>
          <w:rStyle w:val="11"/>
          <w:rFonts w:hint="eastAsia" w:ascii="方正小标宋简体" w:hAnsi="方正小标宋简体" w:eastAsia="方正小标宋简体" w:cs="方正小标宋简体"/>
          <w:b w:val="0"/>
          <w:color w:val="333333"/>
          <w:sz w:val="36"/>
          <w:szCs w:val="36"/>
        </w:rPr>
        <w:t>年度法人年检报告书公开内容</w:t>
      </w:r>
    </w:p>
    <w:p w14:paraId="5CA23E1C">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val="en-US" w:eastAsia="zh-CN"/>
        </w:rPr>
        <w:t>2024</w:t>
      </w:r>
      <w:r>
        <w:rPr>
          <w:rFonts w:hint="eastAsia" w:ascii="仿宋_GB2312" w:hAnsi="Calibri" w:eastAsia="仿宋_GB2312"/>
          <w:sz w:val="32"/>
          <w:szCs w:val="32"/>
        </w:rPr>
        <w:t>年，学院根据《事业单位登记管理暂行条例》和《事业单位登记管理暂行条例实施细则》及有关法律、法规、政策，按照核准的宗旨和业务范围开展活动，主要做了以下几方面的工作：</w:t>
      </w:r>
    </w:p>
    <w:p w14:paraId="1EE22A5C">
      <w:pPr>
        <w:pStyle w:val="3"/>
        <w:keepNext w:val="0"/>
        <w:keepLines w:val="0"/>
        <w:pageBreakBefore w:val="0"/>
        <w:widowControl/>
        <w:kinsoku/>
        <w:wordWrap/>
        <w:overflowPunct/>
        <w:topLinePunct w:val="0"/>
        <w:autoSpaceDE/>
        <w:autoSpaceDN/>
        <w:bidi w:val="0"/>
        <w:adjustRightInd/>
        <w:snapToGrid/>
        <w:spacing w:after="0" w:line="460" w:lineRule="exact"/>
        <w:ind w:firstLine="640" w:firstLineChars="200"/>
        <w:textAlignment w:val="auto"/>
        <w:rPr>
          <w:rFonts w:hint="eastAsia" w:ascii="黑体" w:hAnsi="黑体" w:eastAsia="黑体" w:cs="仿宋_GB2312"/>
          <w:color w:val="333333"/>
          <w:sz w:val="32"/>
          <w:szCs w:val="32"/>
        </w:rPr>
      </w:pPr>
      <w:r>
        <w:rPr>
          <w:rFonts w:hint="eastAsia" w:ascii="黑体" w:hAnsi="黑体" w:eastAsia="黑体" w:cs="仿宋_GB2312"/>
          <w:color w:val="333333"/>
          <w:sz w:val="32"/>
          <w:szCs w:val="32"/>
        </w:rPr>
        <w:t>一、开展业务情况</w:t>
      </w:r>
    </w:p>
    <w:p w14:paraId="2F20D03F">
      <w:pPr>
        <w:pStyle w:val="8"/>
        <w:keepNext w:val="0"/>
        <w:keepLines w:val="0"/>
        <w:pageBreakBefore w:val="0"/>
        <w:kinsoku/>
        <w:wordWrap/>
        <w:topLinePunct w:val="0"/>
        <w:autoSpaceDE/>
        <w:autoSpaceDN/>
        <w:bidi w:val="0"/>
        <w:adjustRightInd/>
        <w:snapToGrid/>
        <w:spacing w:line="500" w:lineRule="exact"/>
        <w:ind w:firstLine="643"/>
        <w:textAlignment w:val="auto"/>
        <w:rPr>
          <w:rFonts w:hint="eastAsia" w:ascii="楷体_GB2312" w:hAnsi="楷体_GB2312" w:eastAsia="楷体_GB2312" w:cs="楷体_GB2312"/>
          <w:b/>
          <w:bCs/>
        </w:rPr>
      </w:pPr>
      <w:r>
        <w:rPr>
          <w:rFonts w:hint="eastAsia" w:ascii="楷体_GB2312" w:hAnsi="楷体_GB2312" w:eastAsia="楷体_GB2312" w:cs="楷体_GB2312"/>
          <w:b/>
          <w:bCs/>
          <w:lang w:eastAsia="zh-CN"/>
        </w:rPr>
        <w:t>（</w:t>
      </w:r>
      <w:r>
        <w:rPr>
          <w:rFonts w:hint="eastAsia" w:ascii="楷体_GB2312" w:hAnsi="楷体_GB2312" w:eastAsia="楷体_GB2312" w:cs="楷体_GB2312"/>
          <w:b/>
          <w:bCs/>
          <w:lang w:val="en-US" w:eastAsia="zh-CN"/>
        </w:rPr>
        <w:t>一</w:t>
      </w:r>
      <w:r>
        <w:rPr>
          <w:rFonts w:hint="eastAsia" w:ascii="楷体_GB2312" w:hAnsi="楷体_GB2312" w:eastAsia="楷体_GB2312" w:cs="楷体_GB2312"/>
          <w:b/>
          <w:bCs/>
          <w:lang w:eastAsia="zh-CN"/>
        </w:rPr>
        <w:t>）</w:t>
      </w:r>
      <w:r>
        <w:rPr>
          <w:rFonts w:hint="eastAsia" w:ascii="楷体_GB2312" w:hAnsi="楷体_GB2312" w:eastAsia="楷体_GB2312" w:cs="楷体_GB2312"/>
          <w:b/>
          <w:bCs/>
        </w:rPr>
        <w:t>夯实党建主体责任，营造风清气正政治环境</w:t>
      </w:r>
    </w:p>
    <w:p w14:paraId="1BF19EFD">
      <w:pPr>
        <w:pStyle w:val="8"/>
        <w:keepNext w:val="0"/>
        <w:keepLines w:val="0"/>
        <w:pageBreakBefore w:val="0"/>
        <w:kinsoku/>
        <w:wordWrap/>
        <w:topLinePunct w:val="0"/>
        <w:autoSpaceDE/>
        <w:autoSpaceDN/>
        <w:bidi w:val="0"/>
        <w:adjustRightInd/>
        <w:snapToGrid/>
        <w:spacing w:line="500" w:lineRule="exact"/>
        <w:ind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lang w:val="en-US" w:eastAsia="zh-CN"/>
        </w:rPr>
        <w:t>一是</w:t>
      </w:r>
      <w:r>
        <w:rPr>
          <w:rFonts w:hint="eastAsia" w:ascii="楷体_GB2312" w:hAnsi="楷体_GB2312" w:eastAsia="楷体_GB2312" w:cs="楷体_GB2312"/>
          <w:b/>
          <w:bCs/>
        </w:rPr>
        <w:t>深化理论学习，筑牢思想根基</w:t>
      </w:r>
      <w:r>
        <w:rPr>
          <w:rFonts w:hint="eastAsia" w:ascii="楷体_GB2312" w:hAnsi="楷体_GB2312" w:eastAsia="楷体_GB2312" w:cs="楷体_GB2312"/>
          <w:b/>
          <w:bCs/>
          <w:lang w:eastAsia="zh-CN"/>
        </w:rPr>
        <w:t>。</w:t>
      </w:r>
      <w:r>
        <w:rPr>
          <w:rFonts w:hint="eastAsia" w:ascii="仿宋_GB2312" w:hAnsi="仿宋_GB2312"/>
          <w:b/>
          <w:bCs/>
        </w:rPr>
        <w:t>1.全面</w:t>
      </w:r>
      <w:r>
        <w:rPr>
          <w:rFonts w:hint="eastAsia" w:ascii="仿宋_GB2312" w:hAnsi="Calibri"/>
          <w:b/>
          <w:bCs/>
        </w:rPr>
        <w:t>贯彻落实党的二十届三中全会精神和习近平文化思想。</w:t>
      </w:r>
      <w:r>
        <w:rPr>
          <w:rFonts w:hint="eastAsia" w:ascii="仿宋_GB2312" w:hAnsi="仿宋_GB2312"/>
        </w:rPr>
        <w:t>依托</w:t>
      </w:r>
      <w:r>
        <w:rPr>
          <w:rFonts w:hint="eastAsia" w:ascii="仿宋_GB2312" w:hAnsi="仿宋_GB2312"/>
          <w:lang w:val="en-US" w:eastAsia="zh-CN"/>
        </w:rPr>
        <w:t>党委理论学习中心组、</w:t>
      </w:r>
      <w:r>
        <w:rPr>
          <w:rFonts w:hint="eastAsia" w:ascii="仿宋_GB2312" w:hAnsi="仿宋_GB2312"/>
        </w:rPr>
        <w:t>“三会一课”、青年理论学习、主题党日等常态化学习方式，印发《2024党建工作要点》、专项工作方案，明确具体措施，积极宣传贯彻</w:t>
      </w:r>
      <w:r>
        <w:rPr>
          <w:rFonts w:hint="eastAsia" w:ascii="仿宋_GB2312" w:hAnsi="仿宋_GB2312"/>
          <w:color w:val="000000"/>
        </w:rPr>
        <w:t>党的二十届三中全会精神、习近平文化思想、</w:t>
      </w:r>
      <w:r>
        <w:rPr>
          <w:rFonts w:hint="eastAsia" w:ascii="仿宋_GB2312" w:hAnsi="仿宋_GB2312"/>
        </w:rPr>
        <w:t>习近平总书记对</w:t>
      </w:r>
      <w:r>
        <w:rPr>
          <w:rFonts w:hint="eastAsia" w:ascii="仿宋_GB2312" w:hAnsi="仿宋_GB2312"/>
          <w:lang w:val="en-US" w:eastAsia="zh-CN"/>
        </w:rPr>
        <w:t>文化和</w:t>
      </w:r>
      <w:r>
        <w:rPr>
          <w:rFonts w:hint="eastAsia" w:ascii="仿宋_GB2312" w:hAnsi="仿宋_GB2312"/>
        </w:rPr>
        <w:t>旅游工作的重要指示精神和视察山东重要讲话精神</w:t>
      </w:r>
      <w:r>
        <w:rPr>
          <w:rFonts w:hint="eastAsia" w:ascii="仿宋_GB2312" w:hAnsi="仿宋_GB2312"/>
          <w:color w:val="000000"/>
        </w:rPr>
        <w:t>等党的先进理论。</w:t>
      </w:r>
      <w:r>
        <w:rPr>
          <w:rFonts w:hint="eastAsia" w:ascii="仿宋_GB2312" w:hAnsi="仿宋_GB2312"/>
        </w:rPr>
        <w:t>全年落实“第一议题”学习27次，党委理论中心组集中学习14次。党委班子成员列席旁听院（系）党组织会议、党政联席会议全覆盖。开展习近平文化思想“三进”系列活动，建成10门院级“三进”示范课堂，形成7个典型案例，立项38项专题教改项目。</w:t>
      </w:r>
      <w:r>
        <w:rPr>
          <w:rFonts w:hint="eastAsia" w:ascii="仿宋_GB2312" w:hAnsi="仿宋_GB2312" w:eastAsia="仿宋_GB2312" w:cs="仿宋_GB2312"/>
          <w:b/>
          <w:bCs/>
          <w:sz w:val="32"/>
          <w:szCs w:val="32"/>
        </w:rPr>
        <w:t>2.</w:t>
      </w:r>
      <w:r>
        <w:rPr>
          <w:rFonts w:hint="eastAsia" w:eastAsia="仿宋_GB2312"/>
          <w:b/>
          <w:bCs/>
          <w:color w:val="000000"/>
          <w:kern w:val="0"/>
          <w:sz w:val="32"/>
          <w:szCs w:val="32"/>
        </w:rPr>
        <w:t>压实</w:t>
      </w:r>
      <w:r>
        <w:rPr>
          <w:rFonts w:eastAsia="仿宋_GB2312"/>
          <w:b/>
          <w:bCs/>
          <w:color w:val="000000"/>
          <w:kern w:val="0"/>
          <w:sz w:val="32"/>
          <w:szCs w:val="32"/>
        </w:rPr>
        <w:t>意识形态工作责任制</w:t>
      </w:r>
      <w:r>
        <w:rPr>
          <w:rFonts w:hint="eastAsia" w:eastAsia="仿宋_GB2312"/>
          <w:b/>
          <w:bCs/>
          <w:color w:val="000000"/>
          <w:kern w:val="0"/>
          <w:sz w:val="32"/>
          <w:szCs w:val="32"/>
        </w:rPr>
        <w:t>。</w:t>
      </w:r>
      <w:r>
        <w:rPr>
          <w:rFonts w:hint="eastAsia" w:ascii="仿宋_GB2312" w:hAnsi="仿宋_GB2312" w:eastAsia="仿宋_GB2312" w:cs="仿宋_GB2312"/>
          <w:color w:val="000000"/>
          <w:kern w:val="0"/>
          <w:sz w:val="32"/>
          <w:szCs w:val="32"/>
        </w:rPr>
        <w:t>院党委专题研究意识形态工作4次，向上级党组织专题汇报意识形态工作2次。开展意识形态工作校内巡察全覆盖，守好意识形态安全底线。严格落实“一会一报”、“三审三校”制度，建立7×24小时网络舆情预警机制，每月制作舆情信息简报，防止错误言论和有害信息传播。</w:t>
      </w:r>
      <w:r>
        <w:rPr>
          <w:rFonts w:hint="eastAsia" w:ascii="仿宋_GB2312" w:hAnsi="仿宋_GB2312" w:eastAsia="仿宋_GB2312" w:cs="仿宋_GB2312"/>
          <w:b/>
          <w:bCs/>
          <w:color w:val="000000"/>
          <w:sz w:val="32"/>
          <w:szCs w:val="32"/>
        </w:rPr>
        <w:t>3.画好最大“同心圆”。</w:t>
      </w:r>
      <w:r>
        <w:rPr>
          <w:rFonts w:hint="eastAsia" w:ascii="仿宋_GB2312" w:hAnsi="仿宋_GB2312" w:eastAsia="仿宋_GB2312" w:cs="仿宋_GB2312"/>
          <w:sz w:val="32"/>
          <w:szCs w:val="32"/>
        </w:rPr>
        <w:t>履行统一战线主体责任，院党委专题研究统战工作2次。院</w:t>
      </w:r>
      <w:r>
        <w:rPr>
          <w:rFonts w:eastAsia="仿宋_GB2312"/>
          <w:sz w:val="32"/>
          <w:szCs w:val="32"/>
        </w:rPr>
        <w:t>领导与党外知识分子谈心谈话，加强思想政治引领。成立党外知识分子联谊会和欧美同学会，对党外知识分子集中培训。召开少数民族学生座</w:t>
      </w:r>
      <w:r>
        <w:rPr>
          <w:rFonts w:hint="eastAsia" w:eastAsia="仿宋_GB2312"/>
          <w:sz w:val="32"/>
          <w:szCs w:val="32"/>
        </w:rPr>
        <w:t>谈会，铸牢中华民族共同体意识。制定开展抵御和防范宗教向高校渗透蔓延专项行动方案，增强师生抵御和防范宗教渗透意识。我院党员、团员中无信教人员。</w:t>
      </w:r>
    </w:p>
    <w:p w14:paraId="24A37999">
      <w:pPr>
        <w:keepNext w:val="0"/>
        <w:keepLines w:val="0"/>
        <w:pageBreakBefore w:val="0"/>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b/>
          <w:bCs/>
          <w:sz w:val="32"/>
          <w:szCs w:val="32"/>
          <w:lang w:val="en-US" w:eastAsia="zh-CN"/>
        </w:rPr>
        <w:t>二是</w:t>
      </w:r>
      <w:r>
        <w:rPr>
          <w:rFonts w:ascii="楷体_GB2312" w:hAnsi="楷体_GB2312" w:eastAsia="楷体_GB2312" w:cs="楷体_GB2312"/>
          <w:b/>
          <w:bCs/>
          <w:sz w:val="32"/>
          <w:szCs w:val="32"/>
        </w:rPr>
        <w:t>践行新时代组织路线，增强组织凝聚力</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顺利</w:t>
      </w:r>
      <w:r>
        <w:rPr>
          <w:rFonts w:hint="eastAsia" w:ascii="仿宋_GB2312" w:hAnsi="仿宋_GB2312" w:eastAsia="仿宋_GB2312" w:cs="仿宋_GB2312"/>
          <w:b/>
          <w:bCs/>
          <w:color w:val="000000" w:themeColor="text1"/>
          <w:sz w:val="32"/>
          <w:szCs w:val="32"/>
          <w14:textFill>
            <w14:solidFill>
              <w14:schemeClr w14:val="tx1"/>
            </w14:solidFill>
          </w14:textFill>
        </w:rPr>
        <w:t>完成学院党组织换届。</w:t>
      </w:r>
      <w:r>
        <w:rPr>
          <w:rFonts w:hint="eastAsia" w:ascii="仿宋_GB2312" w:hAnsi="仿宋_GB2312" w:eastAsia="仿宋_GB2312" w:cs="仿宋_GB2312"/>
          <w:color w:val="000000" w:themeColor="text1"/>
          <w:sz w:val="32"/>
          <w:szCs w:val="32"/>
          <w14:textFill>
            <w14:solidFill>
              <w14:schemeClr w14:val="tx1"/>
            </w14:solidFill>
          </w14:textFill>
        </w:rPr>
        <w:t>顺利完成学院第三届党委、纪委和8个党总支、25个党支部换届。严格履行“三报三批”工作流程，高标准选拔推荐候选人，高质量召开换届选举党员大会。共选举产生7名党委委员、5名纪委委员，40名党总支委员，52名党支部委员。</w:t>
      </w:r>
      <w:r>
        <w:rPr>
          <w:rFonts w:hint="eastAsia" w:ascii="仿宋_GB2312" w:hAnsi="仿宋_GB2312" w:eastAsia="仿宋_GB2312" w:cs="仿宋_GB2312"/>
          <w:b/>
          <w:bCs/>
          <w:color w:val="000000" w:themeColor="text1"/>
          <w:sz w:val="32"/>
          <w:szCs w:val="32"/>
          <w14:textFill>
            <w14:solidFill>
              <w14:schemeClr w14:val="tx1"/>
            </w14:solidFill>
          </w14:textFill>
        </w:rPr>
        <w:t>2.</w:t>
      </w:r>
      <w:r>
        <w:rPr>
          <w:rFonts w:hint="eastAsia" w:ascii="仿宋_GB2312" w:hAnsi="仿宋_GB2312" w:eastAsia="仿宋_GB2312" w:cs="仿宋_GB2312"/>
          <w:b/>
          <w:bCs/>
          <w:color w:val="000000"/>
          <w:kern w:val="0"/>
          <w:sz w:val="32"/>
          <w:szCs w:val="32"/>
        </w:rPr>
        <w:t>优化干部队伍结构。</w:t>
      </w:r>
      <w:r>
        <w:rPr>
          <w:rFonts w:hint="eastAsia" w:ascii="仿宋_GB2312" w:hAnsi="仿宋_GB2312" w:eastAsia="仿宋_GB2312" w:cs="仿宋_GB2312"/>
          <w:color w:val="000000"/>
          <w:kern w:val="0"/>
          <w:sz w:val="32"/>
          <w:szCs w:val="32"/>
        </w:rPr>
        <w:t>完善干部选拔、培养、考核和激励机制，</w:t>
      </w:r>
      <w:r>
        <w:rPr>
          <w:rFonts w:hint="eastAsia" w:ascii="仿宋_GB2312" w:hAnsi="仿宋_GB2312" w:eastAsia="仿宋_GB2312" w:cs="仿宋_GB2312"/>
          <w:spacing w:val="-4"/>
          <w:sz w:val="32"/>
          <w:szCs w:val="32"/>
        </w:rPr>
        <w:t>调整优化干部队伍，对所有中层干部进行了轮岗，选任各级干部36名。</w:t>
      </w:r>
      <w:r>
        <w:rPr>
          <w:rFonts w:hint="eastAsia" w:ascii="仿宋_GB2312" w:hAnsi="仿宋_GB2312" w:eastAsia="仿宋_GB2312" w:cs="仿宋_GB2312"/>
          <w:color w:val="000000"/>
          <w:kern w:val="0"/>
          <w:sz w:val="32"/>
          <w:szCs w:val="32"/>
        </w:rPr>
        <w:t>注重选拔优秀年轻干部和专业型干部，选拔提任14名优秀年轻干部，其中副处级3名，正科级7名，40岁以下干部占比43%，专业型干部占比</w:t>
      </w:r>
      <w:r>
        <w:rPr>
          <w:rFonts w:hint="eastAsia" w:ascii="仿宋_GB2312" w:hAnsi="仿宋_GB2312" w:eastAsia="仿宋_GB2312" w:cs="仿宋_GB2312"/>
          <w:kern w:val="0"/>
          <w:sz w:val="32"/>
          <w:szCs w:val="32"/>
        </w:rPr>
        <w:t>71%</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rPr>
        <w:t>干部选拔流程合规严谨，群众满意度高，</w:t>
      </w:r>
      <w:r>
        <w:rPr>
          <w:rFonts w:hint="eastAsia" w:ascii="仿宋_GB2312" w:hAnsi="仿宋_GB2312" w:eastAsia="仿宋_GB2312" w:cs="仿宋_GB2312"/>
          <w:color w:val="000000"/>
          <w:kern w:val="0"/>
          <w:sz w:val="32"/>
          <w:szCs w:val="32"/>
        </w:rPr>
        <w:t>涵盖教学、科研、教辅、管理等领域，确保干部队伍专业性</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多样性</w:t>
      </w:r>
      <w:r>
        <w:rPr>
          <w:rFonts w:hint="eastAsia" w:ascii="仿宋_GB2312" w:hAnsi="仿宋_GB2312" w:eastAsia="仿宋_GB2312" w:cs="仿宋_GB2312"/>
          <w:color w:val="000000"/>
          <w:kern w:val="0"/>
          <w:sz w:val="32"/>
          <w:szCs w:val="32"/>
          <w:lang w:val="en-US" w:eastAsia="zh-CN"/>
        </w:rPr>
        <w:t>和梯队化</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b/>
          <w:bCs/>
          <w:color w:val="000000" w:themeColor="text1"/>
          <w:sz w:val="32"/>
          <w:szCs w:val="32"/>
          <w14:textFill>
            <w14:solidFill>
              <w14:schemeClr w14:val="tx1"/>
            </w14:solidFill>
          </w14:textFill>
        </w:rPr>
        <w:t>3.</w:t>
      </w:r>
      <w:r>
        <w:rPr>
          <w:rFonts w:hint="eastAsia" w:ascii="仿宋_GB2312" w:hAnsi="仿宋_GB2312" w:eastAsia="仿宋_GB2312" w:cs="仿宋_GB2312"/>
          <w:b/>
          <w:bCs/>
          <w:color w:val="000000"/>
          <w:kern w:val="0"/>
          <w:sz w:val="32"/>
          <w:szCs w:val="32"/>
        </w:rPr>
        <w:t>推进党支部标准化建设。</w:t>
      </w:r>
      <w:r>
        <w:rPr>
          <w:rFonts w:hint="eastAsia" w:ascii="仿宋_GB2312" w:hAnsi="仿宋_GB2312" w:eastAsia="仿宋_GB2312" w:cs="仿宋_GB2312"/>
          <w:color w:val="000000"/>
          <w:kern w:val="0"/>
          <w:sz w:val="32"/>
          <w:szCs w:val="32"/>
        </w:rPr>
        <w:t>制定党支部标准化建设等次评定工作方案，过硬党支部达到80%以上，思政教学部党支部顺利通过全省教育系统第二批样板党支部验收。建立“双带头人”后备人才长效培养机制。规范发展党员流程，全年发展学生党员20名，青年教师党员1名。全面加强离退休干部党建工作，组织离退休干部培训3次，专项活动2次。从大学生团员中发展入党积极分子386名，党建带团建工作成效显著。</w:t>
      </w:r>
      <w:r>
        <w:rPr>
          <w:rFonts w:hint="eastAsia" w:ascii="仿宋_GB2312" w:hAnsi="仿宋_GB2312" w:eastAsia="仿宋_GB2312" w:cs="仿宋_GB2312"/>
          <w:b/>
          <w:bCs/>
          <w:color w:val="000000"/>
          <w:kern w:val="0"/>
          <w:sz w:val="32"/>
          <w:szCs w:val="32"/>
        </w:rPr>
        <w:t>4.</w:t>
      </w:r>
      <w:r>
        <w:rPr>
          <w:rFonts w:hint="eastAsia" w:ascii="仿宋_GB2312" w:hAnsi="仿宋_GB2312" w:eastAsia="仿宋_GB2312" w:cs="仿宋_GB2312"/>
          <w:b/>
          <w:bCs/>
          <w:color w:val="000000" w:themeColor="text1"/>
          <w:sz w:val="32"/>
          <w:szCs w:val="32"/>
          <w14:textFill>
            <w14:solidFill>
              <w14:schemeClr w14:val="tx1"/>
            </w14:solidFill>
          </w14:textFill>
        </w:rPr>
        <w:t>全面开展党建品牌创建。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全面开展“一支部一品牌”党建品牌创建活动，构建以“红色山东 行走课堂”党建品牌为核心，“亮点突出、特色鲜明、百花齐放”的党建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品牌</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格局，初步形成“1816”党委、党总支、党支部三级党建品牌矩阵（即1个学院党建总品牌，8个党总支党建子品牌和16个党支部党建子品牌）。“红色山东 行走课堂”党建品牌</w:t>
      </w:r>
      <w:r>
        <w:rPr>
          <w:rFonts w:ascii="Times New Roman" w:hAnsi="Times New Roman" w:eastAsia="仿宋_GB2312" w:cs="Times New Roman"/>
          <w:sz w:val="32"/>
          <w:szCs w:val="32"/>
        </w:rPr>
        <w:t>被评为省直文旅系统优秀党建品牌、全省教育系统优秀党建品牌案例</w:t>
      </w:r>
      <w:r>
        <w:rPr>
          <w:rFonts w:hint="eastAsia" w:ascii="Times New Roman" w:hAnsi="Times New Roman" w:eastAsia="仿宋_GB2312" w:cs="Times New Roman"/>
          <w:sz w:val="32"/>
          <w:szCs w:val="32"/>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省旅促会“十大党建品牌先进案例”，</w:t>
      </w:r>
      <w:r>
        <w:rPr>
          <w:rFonts w:hint="eastAsia" w:ascii="Times New Roman" w:hAnsi="Times New Roman" w:eastAsia="仿宋_GB2312" w:cs="Times New Roman"/>
          <w:sz w:val="32"/>
          <w:szCs w:val="32"/>
        </w:rPr>
        <w:t>被</w:t>
      </w:r>
      <w:r>
        <w:rPr>
          <w:rFonts w:ascii="Times New Roman" w:hAnsi="Times New Roman" w:eastAsia="仿宋_GB2312" w:cs="Times New Roman"/>
          <w:kern w:val="0"/>
          <w:sz w:val="32"/>
          <w:szCs w:val="32"/>
        </w:rPr>
        <w:t>《光明日报》《经济日报》《中国教育报》《中国青年报》、新华网、学习强国等</w:t>
      </w:r>
      <w:r>
        <w:rPr>
          <w:rFonts w:hint="eastAsia" w:ascii="Times New Roman" w:hAnsi="Times New Roman" w:eastAsia="仿宋_GB2312" w:cs="Times New Roman"/>
          <w:sz w:val="32"/>
          <w:szCs w:val="32"/>
        </w:rPr>
        <w:t>作为典型经验宣传报道。</w:t>
      </w:r>
    </w:p>
    <w:p w14:paraId="6A7FB0BA">
      <w:pPr>
        <w:keepNext w:val="0"/>
        <w:keepLines w:val="0"/>
        <w:pageBreakBefore w:val="0"/>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三是</w:t>
      </w:r>
      <w:r>
        <w:rPr>
          <w:rFonts w:ascii="楷体_GB2312" w:hAnsi="楷体_GB2312" w:eastAsia="楷体_GB2312" w:cs="楷体_GB2312"/>
          <w:b/>
          <w:bCs/>
          <w:color w:val="000000" w:themeColor="text1"/>
          <w:sz w:val="32"/>
          <w:szCs w:val="32"/>
          <w14:textFill>
            <w14:solidFill>
              <w14:schemeClr w14:val="tx1"/>
            </w14:solidFill>
          </w14:textFill>
        </w:rPr>
        <w:t>强化作风建设，筑牢廉洁屏障</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sz w:val="32"/>
          <w:szCs w:val="32"/>
        </w:rPr>
        <w:t>1.精心组织开展党纪学习教育活动。</w:t>
      </w:r>
      <w:r>
        <w:rPr>
          <w:rFonts w:hint="eastAsia" w:ascii="仿宋_GB2312" w:hAnsi="仿宋_GB2312" w:eastAsia="仿宋_GB2312" w:cs="仿宋_GB2312"/>
          <w:sz w:val="32"/>
          <w:szCs w:val="32"/>
        </w:rPr>
        <w:t>准确把握目标要求，抓住学习重点，原原本本学《中国共产党纪律处分条例》，推进党纪学习教育16项重点工作。</w:t>
      </w:r>
      <w:r>
        <w:rPr>
          <w:rFonts w:hint="eastAsia" w:ascii="仿宋_GB2312" w:hAnsi="仿宋_GB2312" w:eastAsia="仿宋_GB2312" w:cs="仿宋_GB2312"/>
          <w:kern w:val="0"/>
          <w:sz w:val="32"/>
          <w:szCs w:val="32"/>
        </w:rPr>
        <w:t>组织党员干部赴历山监狱现场警示教育、邀请专家现场教学</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2.全面落实从严治党要求。</w:t>
      </w:r>
      <w:r>
        <w:rPr>
          <w:rFonts w:hint="eastAsia" w:ascii="仿宋_GB2312" w:hAnsi="仿宋_GB2312" w:eastAsia="仿宋_GB2312" w:cs="仿宋_GB2312"/>
          <w:sz w:val="32"/>
          <w:szCs w:val="32"/>
        </w:rPr>
        <w:t>召开两次全面从严治党工作会议，印发《</w:t>
      </w:r>
      <w:r>
        <w:rPr>
          <w:rFonts w:hint="eastAsia" w:ascii="仿宋_GB2312" w:hAnsi="仿宋_GB2312" w:eastAsia="仿宋_GB2312" w:cs="仿宋_GB2312"/>
          <w:snapToGrid w:val="0"/>
          <w:color w:val="000000"/>
          <w:kern w:val="0"/>
          <w:sz w:val="32"/>
          <w:szCs w:val="32"/>
        </w:rPr>
        <w:t>2024年度履行党建主体责任和全面从严治党重点任务清单</w:t>
      </w:r>
      <w:r>
        <w:rPr>
          <w:rFonts w:hint="eastAsia" w:ascii="仿宋_GB2312" w:hAnsi="仿宋_GB2312" w:eastAsia="仿宋_GB2312" w:cs="仿宋_GB2312"/>
          <w:sz w:val="32"/>
          <w:szCs w:val="32"/>
        </w:rPr>
        <w:t>》</w:t>
      </w:r>
      <w:r>
        <w:rPr>
          <w:rFonts w:hint="eastAsia" w:ascii="仿宋_GB2312" w:hAnsi="仿宋_GB2312" w:eastAsia="仿宋_GB2312" w:cs="仿宋_GB2312"/>
          <w:snapToGrid w:val="0"/>
          <w:color w:val="000000"/>
          <w:kern w:val="0"/>
          <w:sz w:val="32"/>
          <w:szCs w:val="32"/>
        </w:rPr>
        <w:t>，明确10项任务，</w:t>
      </w:r>
      <w:r>
        <w:rPr>
          <w:rFonts w:hint="eastAsia" w:ascii="仿宋_GB2312" w:hAnsi="仿宋_GB2312" w:eastAsia="仿宋_GB2312" w:cs="仿宋_GB2312"/>
          <w:sz w:val="32"/>
          <w:szCs w:val="32"/>
        </w:rPr>
        <w:t>动态调度责任落实情况</w:t>
      </w:r>
      <w:r>
        <w:rPr>
          <w:rFonts w:hint="eastAsia" w:ascii="仿宋_GB2312" w:hAnsi="仿宋_GB2312" w:eastAsia="仿宋_GB2312" w:cs="仿宋_GB2312"/>
          <w:snapToGrid w:val="0"/>
          <w:color w:val="000000"/>
          <w:kern w:val="0"/>
          <w:sz w:val="32"/>
          <w:szCs w:val="32"/>
        </w:rPr>
        <w:t>。2024年，上级未对我院开展巡视、审计。</w:t>
      </w:r>
      <w:r>
        <w:rPr>
          <w:rFonts w:hint="eastAsia" w:ascii="仿宋_GB2312" w:hAnsi="仿宋_GB2312" w:eastAsia="仿宋_GB2312" w:cs="仿宋_GB2312"/>
          <w:color w:val="000000"/>
          <w:kern w:val="0"/>
          <w:sz w:val="32"/>
          <w:szCs w:val="32"/>
          <w:lang w:bidi="ar"/>
        </w:rPr>
        <w:t>党委会</w:t>
      </w:r>
      <w:r>
        <w:rPr>
          <w:rFonts w:hint="eastAsia" w:ascii="仿宋_GB2312" w:hAnsi="仿宋_GB2312" w:eastAsia="仿宋_GB2312" w:cs="仿宋_GB2312"/>
          <w:snapToGrid w:val="0"/>
          <w:color w:val="000000"/>
          <w:kern w:val="0"/>
          <w:sz w:val="32"/>
          <w:szCs w:val="32"/>
        </w:rPr>
        <w:t>对</w:t>
      </w:r>
      <w:r>
        <w:rPr>
          <w:rFonts w:hint="eastAsia" w:ascii="仿宋_GB2312" w:hAnsi="仿宋_GB2312" w:eastAsia="仿宋_GB2312" w:cs="仿宋_GB2312"/>
          <w:color w:val="000000"/>
          <w:kern w:val="0"/>
          <w:sz w:val="32"/>
          <w:szCs w:val="32"/>
          <w:lang w:bidi="ar"/>
        </w:rPr>
        <w:t>校企合作、继续教育、中外合作办学、后勤服务、校园资源开发利用等领域发现问题专题研究，重点解决。</w:t>
      </w:r>
      <w:r>
        <w:rPr>
          <w:rFonts w:hint="eastAsia" w:ascii="仿宋_GB2312" w:hAnsi="仿宋_GB2312" w:eastAsia="仿宋_GB2312" w:cs="仿宋_GB2312"/>
          <w:b/>
          <w:bCs/>
          <w:color w:val="000000"/>
          <w:kern w:val="0"/>
          <w:sz w:val="32"/>
          <w:szCs w:val="32"/>
          <w:lang w:bidi="ar"/>
        </w:rPr>
        <w:t>3.持续整治形式主义问题。</w:t>
      </w:r>
      <w:r>
        <w:rPr>
          <w:rFonts w:hint="eastAsia" w:ascii="仿宋_GB2312" w:hAnsi="仿宋_GB2312" w:eastAsia="仿宋_GB2312" w:cs="仿宋_GB2312"/>
          <w:sz w:val="32"/>
          <w:szCs w:val="32"/>
        </w:rPr>
        <w:t>制定《开展形式主义自查自纠及“指尖上的形式主义”突出问题专项整治工作实施方案》，开展专项治理。</w:t>
      </w:r>
      <w:r>
        <w:rPr>
          <w:rFonts w:hint="eastAsia" w:ascii="仿宋_GB2312" w:hAnsi="仿宋_GB2312" w:eastAsia="仿宋_GB2312" w:cs="仿宋_GB2312"/>
          <w:snapToGrid w:val="0"/>
          <w:color w:val="000000"/>
          <w:kern w:val="0"/>
          <w:sz w:val="32"/>
          <w:szCs w:val="32"/>
        </w:rPr>
        <w:t>制定《开展群众身边不正之风和腐败问题集中整治工作实施方案》，推动整治取得实效。对学生食堂问题进行监督检查和台账管理，组织学生座谈，现场整改问题。增加特价菜品种和数量，公示食堂原材料采购价格。完善建设工程招标采购制度，提升招标采购管理水平。</w:t>
      </w:r>
      <w:r>
        <w:rPr>
          <w:rFonts w:hint="eastAsia" w:ascii="仿宋_GB2312" w:hAnsi="仿宋_GB2312" w:eastAsia="仿宋_GB2312" w:cs="仿宋_GB2312"/>
          <w:b/>
          <w:bCs/>
          <w:spacing w:val="-6"/>
          <w:sz w:val="32"/>
          <w:szCs w:val="32"/>
        </w:rPr>
        <w:t>4.</w:t>
      </w:r>
      <w:r>
        <w:rPr>
          <w:rFonts w:ascii="Segoe UI" w:hAnsi="Segoe UI" w:cs="Segoe UI"/>
          <w:color w:val="05073B"/>
          <w:sz w:val="23"/>
          <w:szCs w:val="23"/>
          <w:shd w:val="clear" w:color="auto" w:fill="FDFDFE"/>
        </w:rPr>
        <w:t xml:space="preserve"> </w:t>
      </w:r>
      <w:r>
        <w:rPr>
          <w:rFonts w:ascii="仿宋_GB2312" w:hAnsi="仿宋_GB2312" w:eastAsia="仿宋_GB2312" w:cs="仿宋_GB2312"/>
          <w:b/>
          <w:bCs/>
          <w:spacing w:val="-6"/>
          <w:sz w:val="32"/>
          <w:szCs w:val="32"/>
        </w:rPr>
        <w:t>坚定不移推进正风肃纪</w:t>
      </w:r>
      <w:r>
        <w:rPr>
          <w:rFonts w:hint="eastAsia" w:ascii="仿宋_GB2312" w:hAnsi="仿宋_GB2312" w:eastAsia="仿宋_GB2312" w:cs="仿宋_GB2312"/>
          <w:b/>
          <w:bCs/>
          <w:spacing w:val="-6"/>
          <w:sz w:val="32"/>
          <w:szCs w:val="32"/>
        </w:rPr>
        <w:t>。</w:t>
      </w:r>
      <w:r>
        <w:rPr>
          <w:rFonts w:hint="eastAsia" w:ascii="仿宋_GB2312" w:hAnsi="仿宋_GB2312" w:eastAsia="仿宋_GB2312" w:cs="仿宋_GB2312"/>
          <w:spacing w:val="-6"/>
          <w:sz w:val="32"/>
          <w:szCs w:val="32"/>
        </w:rPr>
        <w:t>制定</w:t>
      </w:r>
      <w:r>
        <w:rPr>
          <w:rFonts w:hint="eastAsia" w:ascii="仿宋_GB2312" w:hAnsi="仿宋_GB2312" w:eastAsia="仿宋_GB2312" w:cs="仿宋_GB2312"/>
          <w:sz w:val="32"/>
          <w:szCs w:val="32"/>
        </w:rPr>
        <w:t>党风廉政建设和反腐败工作实施方案、党风廉政建设责任制检查考核办法，出台27条措施，强化工作执行和责任落实。制定《廉政风险防控责任清单》，加大对重点岗位、重点事项、重点人员、重点环节廉政风险开展排查防控力度。制定《建设清廉学校实施方案及任务清单》，打造“清正山旅”廉洁文化品牌。印发《关于开展新时代校园廉洁文化建设的通知》，征集廉洁文化作品122件。</w:t>
      </w:r>
      <w:r>
        <w:rPr>
          <w:rFonts w:hint="eastAsia" w:ascii="仿宋_GB2312" w:hAnsi="仿宋_GB2312" w:eastAsia="仿宋_GB2312" w:cs="仿宋_GB2312"/>
          <w:color w:val="000000"/>
          <w:sz w:val="32"/>
          <w:szCs w:val="32"/>
        </w:rPr>
        <w:t>加强师德监督，建立健全受理与调查处理机制，</w:t>
      </w:r>
      <w:r>
        <w:rPr>
          <w:rFonts w:hint="eastAsia" w:ascii="仿宋_GB2312" w:hAnsi="仿宋_GB2312" w:eastAsia="仿宋_GB2312" w:cs="仿宋_GB2312"/>
          <w:sz w:val="32"/>
          <w:szCs w:val="32"/>
        </w:rPr>
        <w:t>开展师德师风专题教育、警示教育活动3次，</w:t>
      </w:r>
      <w:r>
        <w:rPr>
          <w:rFonts w:hint="eastAsia" w:ascii="仿宋_GB2312" w:hAnsi="仿宋_GB2312" w:eastAsia="仿宋_GB2312" w:cs="仿宋_GB2312"/>
          <w:color w:val="000000"/>
          <w:sz w:val="32"/>
          <w:szCs w:val="32"/>
        </w:rPr>
        <w:t>举办</w:t>
      </w:r>
      <w:r>
        <w:rPr>
          <w:rFonts w:hint="eastAsia" w:ascii="仿宋_GB2312" w:hAnsi="仿宋_GB2312" w:eastAsia="仿宋_GB2312" w:cs="仿宋_GB2312"/>
          <w:spacing w:val="15"/>
          <w:sz w:val="32"/>
          <w:szCs w:val="32"/>
        </w:rPr>
        <w:t>“齐鲁最美教师”选树宣传活动，</w:t>
      </w:r>
      <w:r>
        <w:rPr>
          <w:rFonts w:hint="eastAsia" w:ascii="仿宋_GB2312" w:hAnsi="仿宋_GB2312" w:eastAsia="仿宋_GB2312" w:cs="仿宋_GB2312"/>
          <w:sz w:val="32"/>
          <w:szCs w:val="32"/>
        </w:rPr>
        <w:t>全年无师德失范问题发生。</w:t>
      </w:r>
    </w:p>
    <w:p w14:paraId="7B588044">
      <w:pPr>
        <w:keepNext w:val="0"/>
        <w:keepLines w:val="0"/>
        <w:pageBreakBefore w:val="0"/>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val="en-US" w:eastAsia="zh-CN"/>
        </w:rPr>
        <w:t>是</w:t>
      </w:r>
      <w:r>
        <w:rPr>
          <w:rFonts w:ascii="楷体_GB2312" w:hAnsi="楷体_GB2312" w:eastAsia="楷体_GB2312" w:cs="楷体_GB2312"/>
          <w:b/>
          <w:bCs/>
          <w:sz w:val="32"/>
          <w:szCs w:val="32"/>
        </w:rPr>
        <w:t>深化文化建设，推动传承创新</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
          <w:bCs/>
          <w:color w:val="000000"/>
          <w:kern w:val="0"/>
          <w:sz w:val="32"/>
          <w:szCs w:val="32"/>
        </w:rPr>
        <w:t>1.持续打造“红色山东 行走课堂”党建育人品牌。</w:t>
      </w:r>
      <w:r>
        <w:rPr>
          <w:rFonts w:hint="eastAsia" w:ascii="仿宋_GB2312" w:hAnsi="仿宋_GB2312" w:eastAsia="仿宋_GB2312" w:cs="仿宋_GB2312"/>
          <w:color w:val="000000"/>
          <w:kern w:val="0"/>
          <w:sz w:val="32"/>
          <w:szCs w:val="32"/>
        </w:rPr>
        <w:t>组织师生围绕山东16地市130个爱国主义教育基地，编写讲解词158篇、录制讲解视频136个、制作红色故事短视频602部。</w:t>
      </w:r>
      <w:r>
        <w:rPr>
          <w:rFonts w:hint="eastAsia" w:ascii="仿宋_GB2312" w:hAnsi="仿宋_GB2312" w:eastAsia="仿宋_GB2312" w:cs="仿宋_GB2312"/>
          <w:b/>
          <w:bCs/>
          <w:color w:val="000000"/>
          <w:kern w:val="0"/>
          <w:sz w:val="32"/>
          <w:szCs w:val="32"/>
        </w:rPr>
        <w:t>2.</w:t>
      </w:r>
      <w:r>
        <w:rPr>
          <w:rFonts w:ascii="Times New Roman" w:hAnsi="Times New Roman" w:eastAsia="仿宋_GB2312" w:cs="Times New Roman"/>
          <w:b/>
          <w:bCs/>
          <w:sz w:val="32"/>
          <w:szCs w:val="32"/>
        </w:rPr>
        <w:t>积极弘扬中华优秀传统文化和黄河文化。</w:t>
      </w:r>
      <w:r>
        <w:rPr>
          <w:rFonts w:ascii="Times New Roman" w:hAnsi="Times New Roman" w:eastAsia="仿宋_GB2312" w:cs="Times New Roman"/>
          <w:sz w:val="32"/>
          <w:szCs w:val="32"/>
        </w:rPr>
        <w:t>举办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讲好中国故事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文旅融合</w:t>
      </w:r>
      <w:r>
        <w:rPr>
          <w:rFonts w:hint="eastAsia" w:ascii="仿宋_GB2312" w:hAnsi="仿宋_GB2312" w:eastAsia="仿宋_GB2312" w:cs="仿宋_GB2312"/>
          <w:sz w:val="32"/>
          <w:szCs w:val="32"/>
        </w:rPr>
        <w:t>山旅行”、非遗进校园、黄河文化“三下乡”、“法护黄河青春行”</w:t>
      </w:r>
      <w:r>
        <w:rPr>
          <w:rFonts w:hint="eastAsia" w:ascii="仿宋_GB2312" w:hAnsi="仿宋_GB2312" w:eastAsia="仿宋_GB2312" w:cs="仿宋_GB2312"/>
          <w:color w:val="000000" w:themeColor="text1"/>
          <w:sz w:val="32"/>
          <w:szCs w:val="32"/>
          <w14:textFill>
            <w14:solidFill>
              <w14:schemeClr w14:val="tx1"/>
            </w14:solidFill>
          </w14:textFill>
        </w:rPr>
        <w:t>“好客山东校园旅游大使”、</w:t>
      </w:r>
      <w:r>
        <w:rPr>
          <w:rFonts w:ascii="Times New Roman" w:hAnsi="Times New Roman" w:eastAsia="仿宋_GB2312" w:cs="Times New Roman"/>
          <w:sz w:val="32"/>
          <w:szCs w:val="32"/>
        </w:rPr>
        <w:t>旅游专业运动会</w:t>
      </w:r>
      <w:r>
        <w:rPr>
          <w:rFonts w:hint="eastAsia" w:ascii="仿宋_GB2312" w:hAnsi="仿宋_GB2312" w:eastAsia="仿宋_GB2312" w:cs="仿宋_GB2312"/>
          <w:sz w:val="32"/>
          <w:szCs w:val="32"/>
        </w:rPr>
        <w:t>等主题活动。</w:t>
      </w:r>
      <w:r>
        <w:rPr>
          <w:rFonts w:hint="eastAsia" w:ascii="仿宋_GB2312" w:hAnsi="仿宋_GB2312" w:eastAsia="仿宋_GB2312" w:cs="仿宋_GB2312"/>
          <w:color w:val="000000" w:themeColor="text1"/>
          <w:sz w:val="32"/>
          <w:szCs w:val="32"/>
          <w14:textFill>
            <w14:solidFill>
              <w14:schemeClr w14:val="tx1"/>
            </w14:solidFill>
          </w14:textFill>
        </w:rPr>
        <w:t>先后邀请山东省京剧院、德州市杂技团、山东梆子实验剧团和山东吕剧艺术保护传承中心等艺术剧团进校园，开展戏曲表演与讲座，丰富校园文化生活，获得广泛好评。</w:t>
      </w:r>
    </w:p>
    <w:p w14:paraId="111D7873">
      <w:pPr>
        <w:pStyle w:val="8"/>
        <w:keepNext w:val="0"/>
        <w:keepLines w:val="0"/>
        <w:pageBreakBefore w:val="0"/>
        <w:kinsoku/>
        <w:wordWrap/>
        <w:topLinePunct w:val="0"/>
        <w:autoSpaceDE/>
        <w:autoSpaceDN/>
        <w:bidi w:val="0"/>
        <w:adjustRightInd/>
        <w:snapToGrid/>
        <w:spacing w:line="500" w:lineRule="exact"/>
        <w:ind w:firstLine="643"/>
        <w:textAlignment w:val="auto"/>
      </w:pPr>
      <w:r>
        <w:rPr>
          <w:rFonts w:hint="eastAsia" w:ascii="楷体_GB2312" w:hAnsi="楷体_GB2312" w:eastAsia="楷体_GB2312" w:cs="楷体_GB2312"/>
          <w:b/>
          <w:bCs/>
          <w:lang w:val="en-US" w:eastAsia="zh-CN"/>
        </w:rPr>
        <w:t>五是</w:t>
      </w:r>
      <w:r>
        <w:rPr>
          <w:rFonts w:ascii="楷体_GB2312" w:hAnsi="楷体_GB2312" w:eastAsia="楷体_GB2312" w:cs="楷体_GB2312"/>
          <w:b/>
          <w:bCs/>
        </w:rPr>
        <w:t>加强群团建设，坚守服务师生工作生命线</w:t>
      </w:r>
      <w:r>
        <w:rPr>
          <w:rFonts w:hint="eastAsia" w:ascii="楷体_GB2312" w:hAnsi="楷体_GB2312" w:eastAsia="楷体_GB2312" w:cs="楷体_GB2312"/>
          <w:b/>
          <w:bCs/>
          <w:lang w:eastAsia="zh-CN"/>
        </w:rPr>
        <w:t>。</w:t>
      </w:r>
      <w:r>
        <w:rPr>
          <w:rFonts w:hint="eastAsia" w:ascii="仿宋_GB2312" w:hAnsi="仿宋_GB2312"/>
          <w:kern w:val="0"/>
        </w:rPr>
        <w:t>顺利召开学院第四届全体教职工代表大会、</w:t>
      </w:r>
      <w:r>
        <w:rPr>
          <w:rFonts w:hint="eastAsia" w:ascii="仿宋_GB2312" w:hAnsi="仿宋_GB2312"/>
          <w:color w:val="000000"/>
          <w:shd w:val="clear" w:color="auto" w:fill="FFFFFF"/>
        </w:rPr>
        <w:t>工会会员代表大会，以及</w:t>
      </w:r>
      <w:r>
        <w:rPr>
          <w:rFonts w:hint="eastAsia" w:ascii="仿宋_GB2312" w:hAnsi="仿宋_GB2312"/>
          <w:kern w:val="0"/>
        </w:rPr>
        <w:t>共青团山东旅游职业学院第二次代表大会暨山东旅游职业学院第四次学生代表大会。教代会审议通过</w:t>
      </w:r>
      <w:r>
        <w:rPr>
          <w:rFonts w:hint="eastAsia" w:ascii="仿宋_GB2312"/>
        </w:rPr>
        <w:t>《山东旅游职业学院职称评聘管理办法》《山东旅游职业学院部门年度工作绩效考核办法（修订）》，着力破除长期</w:t>
      </w:r>
      <w:r>
        <w:rPr>
          <w:rFonts w:hint="eastAsia" w:ascii="仿宋_GB2312"/>
          <w:lang w:val="en-US" w:eastAsia="zh-CN"/>
        </w:rPr>
        <w:t>制约发展的瓶颈问题</w:t>
      </w:r>
      <w:r>
        <w:rPr>
          <w:rFonts w:hint="eastAsia" w:ascii="仿宋_GB2312"/>
        </w:rPr>
        <w:t>。</w:t>
      </w:r>
      <w:r>
        <w:rPr>
          <w:rFonts w:hint="eastAsia" w:ascii="仿宋_GB2312" w:hAnsi="仿宋_GB2312"/>
          <w:kern w:val="0"/>
        </w:rPr>
        <w:t>依托“青马工程”</w:t>
      </w:r>
      <w:r>
        <w:rPr>
          <w:rFonts w:hint="eastAsia" w:ascii="仿宋_GB2312" w:hAnsi="仿宋_GB2312"/>
          <w:color w:val="000000" w:themeColor="text1"/>
          <w:shd w:val="clear" w:color="auto" w:fill="FFFFFF"/>
          <w14:textFill>
            <w14:solidFill>
              <w14:schemeClr w14:val="tx1"/>
            </w14:solidFill>
          </w14:textFill>
        </w:rPr>
        <w:t>“青年大学习”</w:t>
      </w:r>
      <w:r>
        <w:rPr>
          <w:rFonts w:hint="eastAsia" w:ascii="仿宋_GB2312" w:hAnsi="仿宋_GB2312"/>
          <w:kern w:val="0"/>
        </w:rPr>
        <w:t>等活动，</w:t>
      </w:r>
      <w:r>
        <w:rPr>
          <w:rFonts w:hint="eastAsia" w:ascii="仿宋_GB2312" w:hAnsi="仿宋_GB2312"/>
        </w:rPr>
        <w:t>构建联通社会实践大课堂，</w:t>
      </w:r>
      <w:r>
        <w:rPr>
          <w:rFonts w:hint="eastAsia" w:ascii="仿宋_GB2312" w:hAnsi="仿宋_GB2312"/>
          <w:shd w:val="clear" w:color="auto" w:fill="FFFFFF"/>
        </w:rPr>
        <w:t>强化</w:t>
      </w:r>
      <w:r>
        <w:rPr>
          <w:rFonts w:hint="eastAsia" w:ascii="仿宋_GB2312" w:hAnsi="仿宋_GB2312"/>
        </w:rPr>
        <w:t>青年志愿者队伍建设</w:t>
      </w:r>
      <w:r>
        <w:rPr>
          <w:rFonts w:hint="eastAsia" w:ascii="仿宋_GB2312" w:hAnsi="仿宋_GB2312"/>
          <w:shd w:val="clear" w:color="auto" w:fill="FFFFFF"/>
        </w:rPr>
        <w:t>。</w:t>
      </w:r>
    </w:p>
    <w:p w14:paraId="32A294AB">
      <w:pPr>
        <w:pStyle w:val="8"/>
        <w:keepNext w:val="0"/>
        <w:keepLines w:val="0"/>
        <w:pageBreakBefore w:val="0"/>
        <w:kinsoku/>
        <w:wordWrap/>
        <w:topLinePunct w:val="0"/>
        <w:autoSpaceDE/>
        <w:autoSpaceDN/>
        <w:bidi w:val="0"/>
        <w:adjustRightInd/>
        <w:snapToGrid/>
        <w:spacing w:line="500" w:lineRule="exact"/>
        <w:ind w:firstLine="640"/>
        <w:textAlignment w:val="auto"/>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二</w:t>
      </w:r>
      <w:r>
        <w:rPr>
          <w:rFonts w:hint="eastAsia" w:ascii="黑体" w:hAnsi="黑体" w:eastAsia="黑体" w:cs="黑体"/>
          <w:lang w:eastAsia="zh-CN"/>
        </w:rPr>
        <w:t>）</w:t>
      </w:r>
      <w:r>
        <w:rPr>
          <w:rFonts w:ascii="黑体" w:hAnsi="黑体" w:eastAsia="黑体" w:cs="黑体"/>
        </w:rPr>
        <w:t>聚焦职教改革核心任务，助力现代职教体系建设</w:t>
      </w:r>
    </w:p>
    <w:p w14:paraId="3403F083">
      <w:pPr>
        <w:keepNext w:val="0"/>
        <w:keepLines w:val="0"/>
        <w:pageBreakBefore w:val="0"/>
        <w:kinsoku/>
        <w:wordWrap/>
        <w:topLinePunct w:val="0"/>
        <w:autoSpaceDE/>
        <w:autoSpaceDN/>
        <w:bidi w:val="0"/>
        <w:adjustRightInd/>
        <w:snapToGrid/>
        <w:spacing w:line="500" w:lineRule="exact"/>
        <w:ind w:firstLine="643" w:firstLineChars="200"/>
        <w:textAlignment w:val="auto"/>
        <w:rPr>
          <w:rFonts w:hint="eastAsia" w:ascii="仿宋_GB2312" w:hAnsi="仿宋_GB2312"/>
        </w:rPr>
      </w:pPr>
      <w:r>
        <w:rPr>
          <w:rFonts w:hint="eastAsia" w:ascii="楷体_GB2312" w:hAnsi="楷体_GB2312" w:eastAsia="楷体_GB2312" w:cs="楷体_GB2312"/>
          <w:b/>
          <w:bCs/>
          <w:sz w:val="32"/>
          <w:szCs w:val="32"/>
          <w:lang w:val="en-US" w:eastAsia="zh-CN"/>
        </w:rPr>
        <w:t>一是</w:t>
      </w:r>
      <w:r>
        <w:rPr>
          <w:rFonts w:hint="eastAsia" w:ascii="楷体_GB2312" w:hAnsi="楷体_GB2312" w:eastAsia="楷体_GB2312" w:cs="楷体_GB2312"/>
          <w:b/>
          <w:bCs/>
          <w:sz w:val="32"/>
          <w:szCs w:val="32"/>
        </w:rPr>
        <w:t>成功举办校企合作产教融合对话活动</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bCs/>
          <w:spacing w:val="-6"/>
          <w:sz w:val="32"/>
          <w:szCs w:val="32"/>
        </w:rPr>
        <w:t>6月27日至28日，由全国旅游职业教育教学指导委员会主办，学院承办的全国旅游职业教育“产教融合 校企合作”对话活动圆满落幕。共邀请了89所院校和87家企业参会，完成20组校企合作签约。举行了2024年“五星联盟”书记/校长工作会议，获得了参会嘉宾的一致好评。</w:t>
      </w:r>
      <w:r>
        <w:rPr>
          <w:rFonts w:hint="eastAsia" w:ascii="楷体_GB2312" w:hAnsi="楷体_GB2312" w:eastAsia="楷体_GB2312" w:cs="楷体_GB2312"/>
          <w:b/>
          <w:spacing w:val="-6"/>
          <w:sz w:val="32"/>
          <w:szCs w:val="32"/>
          <w:lang w:val="en-US" w:eastAsia="zh-CN"/>
        </w:rPr>
        <w:t>二是</w:t>
      </w:r>
      <w:r>
        <w:rPr>
          <w:rFonts w:hint="eastAsia" w:ascii="楷体_GB2312" w:hAnsi="楷体_GB2312" w:eastAsia="楷体_GB2312" w:cs="楷体_GB2312"/>
          <w:b/>
          <w:spacing w:val="-6"/>
          <w:sz w:val="32"/>
          <w:szCs w:val="32"/>
        </w:rPr>
        <w:t>探索“人工智能+”教学模式创新</w:t>
      </w:r>
      <w:r>
        <w:rPr>
          <w:rFonts w:hint="eastAsia" w:ascii="楷体_GB2312" w:hAnsi="楷体_GB2312" w:eastAsia="楷体_GB2312" w:cs="楷体_GB2312"/>
          <w:b/>
          <w:spacing w:val="-6"/>
          <w:sz w:val="32"/>
          <w:szCs w:val="32"/>
          <w:lang w:eastAsia="zh-CN"/>
        </w:rPr>
        <w:t>。</w:t>
      </w:r>
      <w:r>
        <w:rPr>
          <w:rFonts w:hint="eastAsia" w:ascii="仿宋_GB2312" w:hAnsi="仿宋_GB2312" w:eastAsia="仿宋_GB2312" w:cs="仿宋_GB2312"/>
          <w:bCs/>
          <w:spacing w:val="-6"/>
          <w:sz w:val="32"/>
          <w:szCs w:val="32"/>
        </w:rPr>
        <w:t>为抢抓人工智能发展的重大战略机遇，学院积极探索人工智能与旅游职业教育的深度融合，印发《山东旅游职业学院全面推动人工智能赋能旅游职业教育高质量发展实施意见》，以“人机协同创新”为驱动力，实施“521行动计划”。</w:t>
      </w:r>
      <w:r>
        <w:rPr>
          <w:rFonts w:hint="eastAsia" w:ascii="仿宋_GB2312" w:hAnsi="仿宋_GB2312" w:eastAsia="仿宋_GB2312" w:cs="仿宋_GB2312"/>
          <w:sz w:val="32"/>
          <w:szCs w:val="32"/>
        </w:rPr>
        <w:t>首创国内旅游职业教育人工智能教学系统——“白泽”，搭建39个应用模块。建成系级人工智能示范课48门，院级人工智能示范课16门，</w:t>
      </w:r>
      <w:r>
        <w:rPr>
          <w:rFonts w:ascii="Times New Roman" w:hAnsi="Times New Roman" w:eastAsia="仿宋_GB2312" w:cs="Times New Roman"/>
          <w:kern w:val="0"/>
          <w:sz w:val="32"/>
          <w:szCs w:val="32"/>
        </w:rPr>
        <w:t>编写41本数字化讲义和教材，建设93门数字化课程资源库，</w:t>
      </w:r>
      <w:r>
        <w:rPr>
          <w:rFonts w:hint="eastAsia" w:ascii="Times New Roman" w:hAnsi="Times New Roman" w:eastAsia="仿宋_GB2312" w:cs="Times New Roman"/>
          <w:kern w:val="0"/>
          <w:sz w:val="32"/>
          <w:szCs w:val="32"/>
        </w:rPr>
        <w:t>面向全体大一新生</w:t>
      </w:r>
      <w:r>
        <w:rPr>
          <w:rFonts w:ascii="Times New Roman" w:hAnsi="Times New Roman" w:eastAsia="仿宋_GB2312" w:cs="Times New Roman"/>
          <w:kern w:val="0"/>
          <w:sz w:val="32"/>
          <w:szCs w:val="32"/>
        </w:rPr>
        <w:t>开设人工智能通识课程，倡导基于生成式人工智能的人才培养新范式。</w:t>
      </w:r>
      <w:r>
        <w:rPr>
          <w:rFonts w:hint="eastAsia" w:ascii="楷体_GB2312" w:hAnsi="楷体_GB2312" w:eastAsia="楷体_GB2312" w:cs="楷体_GB2312"/>
          <w:b/>
          <w:bCs/>
          <w:sz w:val="32"/>
          <w:szCs w:val="32"/>
          <w:lang w:val="en-US" w:eastAsia="zh-CN"/>
        </w:rPr>
        <w:t>三是</w:t>
      </w:r>
      <w:r>
        <w:rPr>
          <w:rFonts w:hint="eastAsia" w:ascii="楷体_GB2312" w:hAnsi="楷体_GB2312" w:eastAsia="楷体_GB2312" w:cs="楷体_GB2312"/>
          <w:b/>
          <w:bCs/>
          <w:sz w:val="32"/>
          <w:szCs w:val="32"/>
        </w:rPr>
        <w:t>聚焦专业建设，优化课程体系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1.引领高标准专业建设。</w:t>
      </w:r>
      <w:r>
        <w:rPr>
          <w:rFonts w:hint="eastAsia" w:ascii="仿宋_GB2312" w:hAnsi="仿宋_GB2312" w:eastAsia="仿宋_GB2312" w:cs="仿宋_GB2312"/>
          <w:sz w:val="32"/>
          <w:szCs w:val="32"/>
        </w:rPr>
        <w:t>初步拟定《山东旅游职业学院专业（群）建设管理办法》，顺利完成旅游管理、餐饮智能管理省级高水平专业群验收。</w:t>
      </w:r>
      <w:r>
        <w:rPr>
          <w:rFonts w:hint="eastAsia" w:ascii="仿宋_GB2312" w:hAnsi="仿宋_GB2312" w:eastAsia="仿宋_GB2312" w:cs="仿宋_GB2312"/>
          <w:kern w:val="0"/>
          <w:sz w:val="32"/>
          <w:szCs w:val="32"/>
        </w:rPr>
        <w:t>与武汉城市职业学院合作，联合主持研学旅行管理与服务专业国家级教学资源库。</w:t>
      </w:r>
      <w:r>
        <w:rPr>
          <w:rFonts w:hint="eastAsia" w:ascii="仿宋_GB2312" w:hAnsi="仿宋_GB2312" w:eastAsia="仿宋_GB2312" w:cs="仿宋_GB2312"/>
          <w:sz w:val="32"/>
          <w:szCs w:val="32"/>
        </w:rPr>
        <w:t>聚焦课程建设，新增省级职业教育在线精品课程等省级成果17项，开展首批103门核心课课标制定暨校企合作课程标准开发。完成导游、中西面点工艺专业等5个省级专业教学指导方案修订。</w:t>
      </w:r>
      <w:r>
        <w:rPr>
          <w:rFonts w:hint="eastAsia" w:ascii="仿宋_GB2312" w:hAnsi="仿宋_GB2312" w:eastAsia="仿宋_GB2312" w:cs="仿宋_GB2312"/>
          <w:b/>
          <w:bCs/>
          <w:kern w:val="0"/>
          <w:sz w:val="32"/>
          <w:szCs w:val="32"/>
        </w:rPr>
        <w:t>2.师生团队再创佳绩。</w:t>
      </w:r>
      <w:r>
        <w:rPr>
          <w:rFonts w:hint="eastAsia" w:ascii="仿宋_GB2312" w:hAnsi="仿宋_GB2312" w:eastAsia="仿宋_GB2312" w:cs="仿宋_GB2312"/>
          <w:spacing w:val="-6"/>
          <w:sz w:val="32"/>
          <w:szCs w:val="32"/>
        </w:rPr>
        <w:t>学院顺利承办</w:t>
      </w:r>
      <w:r>
        <w:rPr>
          <w:rFonts w:hint="eastAsia" w:ascii="仿宋_GB2312" w:hAnsi="仿宋_GB2312" w:eastAsia="仿宋_GB2312" w:cs="仿宋_GB2312"/>
          <w:sz w:val="32"/>
          <w:szCs w:val="32"/>
        </w:rPr>
        <w:t>第17届山东省职业院校技能大赛高职组导游服务赛项，揽获一、二、三等奖5项，在“社区服务实务”赛项中取得零的突破。</w:t>
      </w:r>
      <w:r>
        <w:rPr>
          <w:rFonts w:hint="eastAsia" w:ascii="仿宋_GB2312" w:hAnsi="仿宋_GB2312" w:eastAsia="仿宋_GB2312" w:cs="仿宋_GB2312"/>
          <w:kern w:val="0"/>
          <w:sz w:val="32"/>
          <w:szCs w:val="32"/>
        </w:rPr>
        <w:t>在</w:t>
      </w:r>
      <w:r>
        <w:rPr>
          <w:rFonts w:hint="eastAsia" w:ascii="仿宋_GB2312" w:hAnsi="仿宋_GB2312" w:eastAsia="仿宋_GB2312" w:cs="仿宋_GB2312"/>
          <w:spacing w:val="-6"/>
          <w:sz w:val="32"/>
          <w:szCs w:val="32"/>
        </w:rPr>
        <w:t>世界职业院校技能大赛争夺赛中，学院</w:t>
      </w:r>
      <w:r>
        <w:rPr>
          <w:rFonts w:hint="eastAsia" w:ascii="仿宋_GB2312" w:hAnsi="仿宋_GB2312" w:eastAsia="仿宋_GB2312" w:cs="仿宋_GB2312"/>
          <w:kern w:val="0"/>
          <w:sz w:val="32"/>
          <w:szCs w:val="32"/>
        </w:rPr>
        <w:t>酒水服务、酒店服务、导游服务师生团队</w:t>
      </w:r>
      <w:r>
        <w:rPr>
          <w:rFonts w:hint="eastAsia" w:ascii="仿宋_GB2312" w:hAnsi="仿宋_GB2312" w:eastAsia="仿宋_GB2312" w:cs="仿宋_GB2312"/>
          <w:spacing w:val="-6"/>
          <w:sz w:val="32"/>
          <w:szCs w:val="32"/>
        </w:rPr>
        <w:t>取得了1金2银的优异成绩。</w:t>
      </w:r>
      <w:r>
        <w:rPr>
          <w:rFonts w:hint="eastAsia" w:ascii="仿宋_GB2312" w:hAnsi="仿宋_GB2312" w:eastAsia="仿宋_GB2312" w:cs="仿宋_GB2312"/>
          <w:kern w:val="0"/>
          <w:sz w:val="32"/>
          <w:szCs w:val="32"/>
        </w:rPr>
        <w:t>1名青年教师荣获第三届全省学校思想政治理论课教学比赛二等奖，2名教师荣获山东省青年教师教学比赛优秀奖。山东省职业教育山东风味面点技艺技能传承创新平台、山东省职业教育“技能大师”工作室——智能烹饪大师工作室通过验收、考核。</w:t>
      </w:r>
      <w:r>
        <w:rPr>
          <w:rFonts w:hint="eastAsia" w:ascii="仿宋_GB2312" w:hAnsi="仿宋_GB2312" w:eastAsia="仿宋_GB2312" w:cs="仿宋_GB2312"/>
          <w:sz w:val="32"/>
          <w:szCs w:val="32"/>
        </w:rPr>
        <w:t>新增餐饮智能管理和导游2个省级教学创新团队。</w:t>
      </w:r>
      <w:r>
        <w:rPr>
          <w:rFonts w:hint="eastAsia" w:ascii="仿宋_GB2312" w:hAnsi="仿宋_GB2312" w:eastAsia="仿宋_GB2312" w:cs="仿宋_GB2312"/>
          <w:b/>
          <w:bCs/>
          <w:sz w:val="32"/>
          <w:szCs w:val="32"/>
        </w:rPr>
        <w:t>3.开展长学制人才培养工作。</w:t>
      </w:r>
      <w:r>
        <w:rPr>
          <w:rFonts w:hint="eastAsia" w:ascii="仿宋_GB2312" w:hAnsi="仿宋_GB2312" w:eastAsia="仿宋_GB2312" w:cs="仿宋_GB2312"/>
          <w:sz w:val="32"/>
          <w:szCs w:val="32"/>
        </w:rPr>
        <w:t>学院旅游管理专业获批山东女子学院对口贯通分段培养试点，同时获批9所中职院校19个五年一贯制培养项目，制定完成《山东旅游职业学院专本贯通项目培育方案》。</w:t>
      </w:r>
      <w:r>
        <w:rPr>
          <w:rFonts w:hint="eastAsia" w:ascii="仿宋_GB2312" w:hAnsi="仿宋_GB2312" w:eastAsia="仿宋_GB2312" w:cs="仿宋_GB2312"/>
          <w:b/>
          <w:bCs/>
          <w:sz w:val="32"/>
          <w:szCs w:val="32"/>
        </w:rPr>
        <w:t>4.完成职教高考试题资源库验收。</w:t>
      </w:r>
      <w:r>
        <w:rPr>
          <w:rFonts w:hint="eastAsia" w:ascii="仿宋_GB2312" w:hAnsi="仿宋_GB2312" w:eastAsia="仿宋_GB2312" w:cs="仿宋_GB2312"/>
          <w:sz w:val="32"/>
          <w:szCs w:val="32"/>
        </w:rPr>
        <w:t>顺利完成酒店管理、旅游管理两个专业的“职教高考”题库验收，创建经验获得省教育厅高度认可，在全省培训会议上进行分享。</w:t>
      </w:r>
    </w:p>
    <w:p w14:paraId="162EB399">
      <w:pPr>
        <w:pStyle w:val="8"/>
        <w:keepNext w:val="0"/>
        <w:keepLines w:val="0"/>
        <w:pageBreakBefore w:val="0"/>
        <w:kinsoku/>
        <w:wordWrap/>
        <w:topLinePunct w:val="0"/>
        <w:autoSpaceDE/>
        <w:autoSpaceDN/>
        <w:bidi w:val="0"/>
        <w:adjustRightInd/>
        <w:snapToGrid/>
        <w:spacing w:line="500" w:lineRule="exact"/>
        <w:ind w:firstLine="640"/>
        <w:textAlignment w:val="auto"/>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三</w:t>
      </w:r>
      <w:r>
        <w:rPr>
          <w:rFonts w:hint="eastAsia" w:ascii="黑体" w:hAnsi="黑体" w:eastAsia="黑体" w:cs="黑体"/>
          <w:lang w:eastAsia="zh-CN"/>
        </w:rPr>
        <w:t>）</w:t>
      </w:r>
      <w:r>
        <w:rPr>
          <w:rFonts w:ascii="黑体" w:hAnsi="黑体" w:eastAsia="黑体" w:cs="黑体"/>
        </w:rPr>
        <w:t>着力提升科研服务能力，积极拓宽对外合作领域</w:t>
      </w:r>
    </w:p>
    <w:p w14:paraId="4AA338B9">
      <w:pPr>
        <w:pStyle w:val="8"/>
        <w:keepNext w:val="0"/>
        <w:keepLines w:val="0"/>
        <w:pageBreakBefore w:val="0"/>
        <w:kinsoku/>
        <w:wordWrap/>
        <w:topLinePunct w:val="0"/>
        <w:autoSpaceDE/>
        <w:autoSpaceDN/>
        <w:bidi w:val="0"/>
        <w:adjustRightInd/>
        <w:snapToGrid/>
        <w:spacing w:line="500" w:lineRule="exact"/>
        <w:ind w:firstLine="643"/>
        <w:textAlignment w:val="auto"/>
        <w:rPr>
          <w:rFonts w:hint="eastAsia" w:ascii="仿宋_GB2312" w:hAnsi="仿宋_GB2312"/>
        </w:rPr>
      </w:pPr>
      <w:r>
        <w:rPr>
          <w:rFonts w:hint="eastAsia" w:ascii="楷体_GB2312" w:hAnsi="楷体_GB2312" w:eastAsia="楷体_GB2312" w:cs="楷体_GB2312"/>
          <w:b/>
          <w:bCs/>
          <w:lang w:val="en-US" w:eastAsia="zh-CN"/>
        </w:rPr>
        <w:t>一是</w:t>
      </w:r>
      <w:r>
        <w:rPr>
          <w:rFonts w:hint="eastAsia" w:ascii="楷体_GB2312" w:hAnsi="楷体_GB2312" w:eastAsia="楷体_GB2312" w:cs="楷体_GB2312"/>
          <w:b/>
          <w:bCs/>
        </w:rPr>
        <w:t>科研社会服务成果显著</w:t>
      </w:r>
      <w:r>
        <w:rPr>
          <w:rFonts w:hint="eastAsia" w:ascii="楷体_GB2312" w:hAnsi="楷体_GB2312" w:eastAsia="楷体_GB2312" w:cs="楷体_GB2312"/>
          <w:b/>
          <w:bCs/>
          <w:lang w:eastAsia="zh-CN"/>
        </w:rPr>
        <w:t>。</w:t>
      </w:r>
      <w:r>
        <w:rPr>
          <w:rFonts w:hint="eastAsia" w:ascii="仿宋_GB2312" w:hAnsi="仿宋_GB2312"/>
          <w:b/>
          <w:bCs/>
        </w:rPr>
        <w:t>1.构建发展共同体。</w:t>
      </w:r>
      <w:r>
        <w:rPr>
          <w:rFonts w:hint="eastAsia" w:ascii="仿宋_GB2312" w:hAnsi="仿宋_GB2312"/>
        </w:rPr>
        <w:t>与北京第二外国语学院、马蜂窝旅游网牵头成立了全国旅游信息传播产教融合共同体，积极参加黄河流域生态文旅康养行业产教融合等9个行业共同体，共育产业人才。联合山东省精品旅游促进会，牵头成立精品旅游促进会旅游教育专业委员会，优化我省旅游教育生态。聚焦新旧动能转换、乡村振兴、文旅融合发展等重点方向，立项省部级课题3项，厅局级课题4项；做大做强“山旅培训”品牌，成功入选山东黄河优质教育培训基地。</w:t>
      </w:r>
      <w:r>
        <w:rPr>
          <w:rFonts w:hint="eastAsia" w:ascii="仿宋_GB2312" w:hAnsi="仿宋_GB2312"/>
          <w:b/>
          <w:bCs/>
        </w:rPr>
        <w:t>2.放权赋能项目团队。</w:t>
      </w:r>
      <w:r>
        <w:rPr>
          <w:rFonts w:hint="eastAsia" w:ascii="仿宋_GB2312" w:hAnsi="仿宋_GB2312"/>
        </w:rPr>
        <w:t>分类制定科研绩效目标，依托文化和旅游部数据中心山东分中心、山东省文化和旅游数据中心，合作开展全省、烟台、潍坊、济宁、滨州等地市旅游数据处理和分析项目，在服务乡村振兴、文旅融合、数字化转型等方向上重点发力，立项横向课题37项，累计合同额350万元。</w:t>
      </w:r>
      <w:r>
        <w:rPr>
          <w:rFonts w:hint="eastAsia" w:ascii="仿宋_GB2312" w:hAnsi="仿宋_GB2312"/>
          <w:b/>
          <w:bCs/>
        </w:rPr>
        <w:t>3.强化“山旅培训”质效。</w:t>
      </w:r>
      <w:r>
        <w:rPr>
          <w:rFonts w:hint="eastAsia" w:ascii="仿宋_GB2312" w:hAnsi="仿宋_GB2312"/>
        </w:rPr>
        <w:t>面向文旅行业、企业实际需求建设师资库、课程库，组织“金银牌培训师”大赛，完成各级各类培训3000余人次，累计到账370余万元。</w:t>
      </w:r>
    </w:p>
    <w:p w14:paraId="0CDAFC50">
      <w:pPr>
        <w:pStyle w:val="8"/>
        <w:keepNext w:val="0"/>
        <w:keepLines w:val="0"/>
        <w:pageBreakBefore w:val="0"/>
        <w:kinsoku/>
        <w:wordWrap/>
        <w:topLinePunct w:val="0"/>
        <w:autoSpaceDE/>
        <w:autoSpaceDN/>
        <w:bidi w:val="0"/>
        <w:adjustRightInd/>
        <w:snapToGrid/>
        <w:spacing w:line="500" w:lineRule="exact"/>
        <w:ind w:firstLine="643"/>
        <w:textAlignment w:val="auto"/>
        <w:rPr>
          <w:rFonts w:hint="eastAsia" w:ascii="仿宋_GB2312" w:hAnsi="仿宋_GB2312"/>
          <w:b/>
          <w:bCs/>
        </w:rPr>
      </w:pPr>
      <w:r>
        <w:rPr>
          <w:rFonts w:hint="eastAsia" w:ascii="楷体_GB2312" w:hAnsi="楷体_GB2312" w:eastAsia="楷体_GB2312" w:cs="楷体_GB2312"/>
          <w:b/>
          <w:bCs/>
          <w:lang w:val="en-US" w:eastAsia="zh-CN"/>
        </w:rPr>
        <w:t>二是</w:t>
      </w:r>
      <w:r>
        <w:rPr>
          <w:rFonts w:hint="eastAsia" w:ascii="楷体_GB2312" w:hAnsi="楷体_GB2312" w:eastAsia="楷体_GB2312" w:cs="楷体_GB2312"/>
          <w:b/>
          <w:bCs/>
        </w:rPr>
        <w:t>主动拓宽对外交流合作领域</w:t>
      </w:r>
      <w:r>
        <w:rPr>
          <w:rFonts w:hint="eastAsia" w:ascii="楷体_GB2312" w:hAnsi="楷体_GB2312" w:eastAsia="楷体_GB2312" w:cs="楷体_GB2312"/>
          <w:b/>
          <w:bCs/>
          <w:lang w:eastAsia="zh-CN"/>
        </w:rPr>
        <w:t>。</w:t>
      </w:r>
      <w:r>
        <w:rPr>
          <w:rFonts w:hint="eastAsia" w:ascii="仿宋_GB2312" w:hAnsi="仿宋_GB2312"/>
          <w:b/>
          <w:bCs/>
        </w:rPr>
        <w:t>1.</w:t>
      </w:r>
      <w:r>
        <w:rPr>
          <w:rFonts w:ascii="仿宋_GB2312" w:hAnsi="仿宋_GB2312"/>
          <w:b/>
          <w:bCs/>
        </w:rPr>
        <w:t>校企携手打造数字化实训场景</w:t>
      </w:r>
      <w:r>
        <w:rPr>
          <w:rFonts w:hint="eastAsia" w:ascii="仿宋_GB2312" w:hAnsi="仿宋_GB2312"/>
          <w:b/>
          <w:bCs/>
        </w:rPr>
        <w:t>。</w:t>
      </w:r>
      <w:r>
        <w:rPr>
          <w:rFonts w:hint="eastAsia" w:ascii="仿宋_GB2312" w:hAnsi="仿宋_GB2312"/>
        </w:rPr>
        <w:t xml:space="preserve">与途牛网共建校内旅游直播实训基地，与浪潮数字集团共建智能烹饪实训实验室，与山东大厦等合作建设数字化实训客房。建成酒店管理智能仿真实训中心、旅游数字化实训中心、烹饪实训中心三大实训平台，校内生产性实训室已达101个，实训工位6076个。 </w:t>
      </w: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校企共筑全环境育人共同体</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与北京执惠文旅等5家龙头企业共建产业学院，在103家企业建立校外实训基地，与多家企业签署订单培养、学徒培养协议，订单培养学生数量874人，现代学徒制培养546人，组织3439名新生进行认识实习，组织3200名22级学生在企业进行顶岗实习，企事业单位接收学生岗位实习比例100%。</w:t>
      </w:r>
      <w:r>
        <w:rPr>
          <w:rFonts w:hint="eastAsia" w:ascii="仿宋_GB2312" w:hAnsi="仿宋_GB2312"/>
          <w:b/>
          <w:bCs/>
        </w:rPr>
        <w:t>3.</w:t>
      </w:r>
      <w:r>
        <w:rPr>
          <w:rFonts w:ascii="仿宋_GB2312" w:hAnsi="仿宋_GB2312"/>
          <w:b/>
          <w:bCs/>
        </w:rPr>
        <w:t>中外合作办学项目取得显著进展</w:t>
      </w:r>
      <w:r>
        <w:rPr>
          <w:rFonts w:hint="eastAsia" w:ascii="仿宋_GB2312" w:hAnsi="仿宋_GB2312"/>
          <w:b/>
          <w:bCs/>
        </w:rPr>
        <w:t>。</w:t>
      </w:r>
      <w:r>
        <w:rPr>
          <w:rFonts w:hint="eastAsia" w:ascii="仿宋_GB2312" w:hAnsi="仿宋_GB2312"/>
        </w:rPr>
        <w:t>学院与韩国尚志大学合作的酒店管理专业在校生163名，引进外方课程占比近四成，共同培养国际化人才。与瑞士工商酒店管理学院合作的西式烹饪工艺项目填补专业空白，通过专业建设与人才培养拓宽国际化办学宽度。此外，开设中蒙国际旅游研究院、中铁资源蒙古新鑫产教融合培训中心、巴厘省中餐美食艺术培训中心。与瑞士、印度尼西亚、新加坡、蒙古国等国家的合作院校进行多次互访，15名教师赴外访学，引进国际师资5人，12名学生赴境外研修，累计招收留学生74人，服务“一带一路”倡议，为学院带来多元文化和国际活力。</w:t>
      </w:r>
    </w:p>
    <w:p w14:paraId="480E3CFD">
      <w:pPr>
        <w:pStyle w:val="8"/>
        <w:keepNext w:val="0"/>
        <w:keepLines w:val="0"/>
        <w:pageBreakBefore w:val="0"/>
        <w:kinsoku/>
        <w:wordWrap/>
        <w:topLinePunct w:val="0"/>
        <w:autoSpaceDE/>
        <w:autoSpaceDN/>
        <w:bidi w:val="0"/>
        <w:adjustRightInd/>
        <w:snapToGrid/>
        <w:spacing w:line="500" w:lineRule="exact"/>
        <w:ind w:firstLine="640"/>
        <w:textAlignment w:val="auto"/>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四</w:t>
      </w:r>
      <w:r>
        <w:rPr>
          <w:rFonts w:hint="eastAsia" w:ascii="黑体" w:hAnsi="黑体" w:eastAsia="黑体" w:cs="黑体"/>
          <w:lang w:eastAsia="zh-CN"/>
        </w:rPr>
        <w:t>）</w:t>
      </w:r>
      <w:r>
        <w:rPr>
          <w:rFonts w:ascii="黑体" w:hAnsi="黑体" w:eastAsia="黑体" w:cs="黑体"/>
        </w:rPr>
        <w:t>强化学生综合素质培养，关注个性化成长路径</w:t>
      </w:r>
    </w:p>
    <w:p w14:paraId="6930EA33">
      <w:pPr>
        <w:keepNext w:val="0"/>
        <w:keepLines w:val="0"/>
        <w:pageBreakBefore w:val="0"/>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sz w:val="32"/>
          <w:szCs w:val="32"/>
          <w:lang w:val="en-US" w:eastAsia="zh-CN"/>
        </w:rPr>
        <w:t>一是</w:t>
      </w:r>
      <w:r>
        <w:rPr>
          <w:rFonts w:hint="eastAsia" w:ascii="楷体_GB2312" w:hAnsi="楷体_GB2312" w:eastAsia="楷体_GB2312" w:cs="楷体_GB2312"/>
          <w:b/>
          <w:bCs/>
          <w:color w:val="000000"/>
          <w:sz w:val="32"/>
          <w:szCs w:val="32"/>
        </w:rPr>
        <w:t>构建三全育人工作体系</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b/>
          <w:bCs/>
          <w:color w:val="000000"/>
          <w:sz w:val="32"/>
          <w:szCs w:val="32"/>
        </w:rPr>
        <w:t>1.</w:t>
      </w:r>
      <w:r>
        <w:rPr>
          <w:rFonts w:ascii="仿宋_GB2312" w:hAnsi="仿宋_GB2312" w:eastAsia="仿宋_GB2312" w:cs="仿宋_GB2312"/>
          <w:b/>
          <w:bCs/>
          <w:color w:val="000000"/>
          <w:kern w:val="0"/>
          <w:sz w:val="32"/>
          <w:szCs w:val="32"/>
        </w:rPr>
        <w:t>打造大思政育人新格局</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sz w:val="32"/>
          <w:szCs w:val="32"/>
        </w:rPr>
        <w:t>制定《思政课改革创新实施方案》《“大思政课”建设实施方案》《网络思政教育作品设计比赛方案》，</w:t>
      </w:r>
      <w:r>
        <w:rPr>
          <w:rFonts w:hint="eastAsia" w:ascii="仿宋_GB2312" w:hAnsi="仿宋_GB2312" w:eastAsia="仿宋_GB2312" w:cs="仿宋_GB2312"/>
          <w:color w:val="000000"/>
          <w:kern w:val="0"/>
          <w:sz w:val="32"/>
          <w:szCs w:val="32"/>
        </w:rPr>
        <w:t>完善党的创新理论“三进”机制。学院党委专题研究思政课建设5次，两级党组织书记、校（院）长为师生讲思政课43次。</w:t>
      </w:r>
      <w:r>
        <w:rPr>
          <w:rFonts w:hint="eastAsia" w:ascii="仿宋_GB2312" w:hAnsi="仿宋_GB2312" w:eastAsia="仿宋_GB2312" w:cs="仿宋_GB2312"/>
          <w:sz w:val="32"/>
          <w:szCs w:val="32"/>
        </w:rPr>
        <w:t>《旅游职业道德》课程入选全国旅游职业院校“立德树人谱芳华 躬耕课堂铸根本”课程思政展示活动优秀课程。</w:t>
      </w:r>
      <w:r>
        <w:rPr>
          <w:rFonts w:hint="eastAsia" w:ascii="仿宋_GB2312" w:hAnsi="仿宋_GB2312" w:eastAsia="仿宋_GB2312" w:cs="仿宋_GB2312"/>
          <w:b/>
          <w:bCs/>
          <w:sz w:val="32"/>
          <w:szCs w:val="32"/>
        </w:rPr>
        <w:t>2.创设“休闲+体育”融合育人模式。</w:t>
      </w:r>
      <w:r>
        <w:rPr>
          <w:rFonts w:hint="eastAsia" w:ascii="仿宋_GB2312" w:hAnsi="仿宋_GB2312" w:eastAsia="仿宋_GB2312" w:cs="仿宋_GB2312"/>
          <w:sz w:val="32"/>
          <w:szCs w:val="32"/>
        </w:rPr>
        <w:t>结合文旅专业特色，实施体育课程改革，创新性引入营地、风筝、徒步、蹴鞠等17个休闲体育项目，激发学生体育兴趣。</w:t>
      </w:r>
      <w:r>
        <w:rPr>
          <w:rFonts w:hint="eastAsia" w:ascii="仿宋_GB2312" w:hAnsi="仿宋_GB2312" w:eastAsia="仿宋_GB2312" w:cs="仿宋_GB2312"/>
          <w:b/>
          <w:bCs/>
          <w:sz w:val="32"/>
          <w:szCs w:val="32"/>
        </w:rPr>
        <w:t>3.搭建多维育人网络。</w:t>
      </w:r>
      <w:r>
        <w:rPr>
          <w:rFonts w:hint="eastAsia" w:ascii="仿宋_GB2312" w:hAnsi="仿宋_GB2312" w:eastAsia="仿宋_GB2312" w:cs="仿宋_GB2312"/>
          <w:color w:val="000000"/>
          <w:sz w:val="32"/>
          <w:szCs w:val="32"/>
        </w:rPr>
        <w:t>制定《“三全育人”工作方案》《“一站式”学生社区建设方案》《心理健康教育工作实施细则》《心理健康教育四级网络建设方案》，</w:t>
      </w:r>
      <w:r>
        <w:rPr>
          <w:rFonts w:hint="eastAsia" w:ascii="仿宋_GB2312" w:hAnsi="仿宋_GB2312" w:eastAsia="仿宋_GB2312" w:cs="仿宋_GB2312"/>
          <w:color w:val="000000"/>
          <w:kern w:val="0"/>
          <w:sz w:val="32"/>
          <w:szCs w:val="32"/>
        </w:rPr>
        <w:t>配齐配强工作人员队伍。</w:t>
      </w:r>
      <w:r>
        <w:rPr>
          <w:rFonts w:hint="eastAsia" w:ascii="仿宋_GB2312" w:hAnsi="仿宋_GB2312" w:eastAsia="仿宋_GB2312" w:cs="仿宋_GB2312"/>
          <w:color w:val="000000" w:themeColor="text1"/>
          <w:sz w:val="32"/>
          <w:szCs w:val="32"/>
          <w14:textFill>
            <w14:solidFill>
              <w14:schemeClr w14:val="tx1"/>
            </w14:solidFill>
          </w14:textFill>
        </w:rPr>
        <w:t>打造“校-系-班-宿”四级心理咨询网络</w:t>
      </w:r>
      <w:r>
        <w:rPr>
          <w:rFonts w:hint="eastAsia" w:ascii="仿宋_GB2312" w:hAnsi="仿宋_GB2312" w:eastAsia="仿宋_GB2312" w:cs="仿宋_GB2312"/>
          <w:color w:val="000000"/>
          <w:sz w:val="32"/>
          <w:szCs w:val="32"/>
        </w:rPr>
        <w:t>，开设心理健康课程普及专业知识，</w:t>
      </w:r>
      <w:r>
        <w:rPr>
          <w:rFonts w:hint="eastAsia" w:ascii="仿宋_GB2312" w:hAnsi="仿宋_GB2312" w:eastAsia="仿宋_GB2312" w:cs="仿宋_GB2312"/>
          <w:bCs/>
          <w:color w:val="000000" w:themeColor="text1"/>
          <w:kern w:val="0"/>
          <w:sz w:val="32"/>
          <w:szCs w:val="32"/>
          <w14:textFill>
            <w14:solidFill>
              <w14:schemeClr w14:val="tx1"/>
            </w14:solidFill>
          </w14:textFill>
        </w:rPr>
        <w:t>完善心理评估制度，对新生、重点人群进行测评和随访。</w:t>
      </w:r>
      <w:r>
        <w:rPr>
          <w:rFonts w:hint="eastAsia" w:ascii="仿宋_GB2312" w:hAnsi="仿宋_GB2312" w:eastAsia="仿宋_GB2312" w:cs="仿宋_GB2312"/>
          <w:b/>
          <w:color w:val="000000" w:themeColor="text1"/>
          <w:kern w:val="0"/>
          <w:sz w:val="32"/>
          <w:szCs w:val="32"/>
          <w14:textFill>
            <w14:solidFill>
              <w14:schemeClr w14:val="tx1"/>
            </w14:solidFill>
          </w14:textFill>
        </w:rPr>
        <w:t>4.</w:t>
      </w:r>
      <w:r>
        <w:rPr>
          <w:rFonts w:ascii="仿宋_GB2312" w:hAnsi="仿宋_GB2312" w:eastAsia="仿宋_GB2312" w:cs="仿宋_GB2312"/>
          <w:b/>
          <w:color w:val="000000" w:themeColor="text1"/>
          <w:kern w:val="0"/>
          <w:sz w:val="32"/>
          <w:szCs w:val="32"/>
          <w14:textFill>
            <w14:solidFill>
              <w14:schemeClr w14:val="tx1"/>
            </w14:solidFill>
          </w14:textFill>
        </w:rPr>
        <w:t>优化生源结构，拓宽就业渠道</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sz w:val="32"/>
          <w:szCs w:val="32"/>
        </w:rPr>
        <w:t>2024年招生总计划3659人，最终录取3620人，</w:t>
      </w:r>
      <w:r>
        <w:rPr>
          <w:rFonts w:ascii="Times New Roman" w:hAnsi="Times New Roman" w:eastAsia="仿宋_GB2312" w:cs="Times New Roman"/>
          <w:kern w:val="0"/>
          <w:sz w:val="32"/>
          <w:szCs w:val="32"/>
        </w:rPr>
        <w:t>生源质量获得较大提升</w:t>
      </w:r>
      <w:r>
        <w:rPr>
          <w:rFonts w:hint="eastAsia" w:ascii="Times New Roman" w:hAnsi="Times New Roman" w:eastAsia="仿宋_GB2312" w:cs="Times New Roman"/>
          <w:kern w:val="0"/>
          <w:sz w:val="32"/>
          <w:szCs w:val="32"/>
        </w:rPr>
        <w:t>。</w:t>
      </w:r>
      <w:r>
        <w:rPr>
          <w:rFonts w:hint="eastAsia" w:ascii="仿宋_GB2312" w:hAnsi="仿宋_GB2312" w:eastAsia="仿宋_GB2312" w:cs="仿宋_GB2312"/>
          <w:sz w:val="32"/>
          <w:szCs w:val="32"/>
        </w:rPr>
        <w:t>建立“1+3+X就业工作模式”，</w:t>
      </w:r>
      <w:r>
        <w:rPr>
          <w:rFonts w:hint="eastAsia" w:ascii="仿宋_GB2312" w:hAnsi="仿宋_GB2312" w:eastAsia="仿宋_GB2312" w:cs="仿宋_GB2312"/>
          <w:kern w:val="0"/>
          <w:sz w:val="32"/>
          <w:szCs w:val="32"/>
        </w:rPr>
        <w:t>主办实习就业双选会，</w:t>
      </w:r>
      <w:r>
        <w:rPr>
          <w:rFonts w:hint="eastAsia" w:ascii="仿宋_GB2312" w:hAnsi="仿宋_GB2312" w:eastAsia="仿宋_GB2312" w:cs="仿宋_GB2312"/>
          <w:sz w:val="32"/>
          <w:szCs w:val="32"/>
        </w:rPr>
        <w:t>形成以校企合作单位为主、校园招聘会等多种渠道为辅的就业推荐模式，建立就业信息统计工作责任制。截至2024年12月，学院毕业去向落实率为91.04%。</w:t>
      </w:r>
      <w:r>
        <w:rPr>
          <w:rFonts w:hint="eastAsia" w:ascii="仿宋_GB2312" w:hAnsi="仿宋_GB2312" w:eastAsia="仿宋_GB2312" w:cs="仿宋_GB2312"/>
          <w:kern w:val="0"/>
          <w:sz w:val="32"/>
          <w:szCs w:val="32"/>
        </w:rPr>
        <w:t>创新创业氛围浓厚，在全国大学生职业规划大赛山东省省赛中收获二等奖1项，三等奖2项；在</w:t>
      </w:r>
      <w:r>
        <w:rPr>
          <w:rFonts w:hint="eastAsia" w:ascii="仿宋_GB2312" w:hAnsi="仿宋_GB2312" w:eastAsia="仿宋_GB2312" w:cs="仿宋_GB2312"/>
          <w:sz w:val="32"/>
          <w:szCs w:val="32"/>
        </w:rPr>
        <w:t>山东省2024年大学生科技节-互联网+康养旅游大赛中，收获一等奖5项，二等奖6项，三等奖7项</w:t>
      </w:r>
      <w:r>
        <w:rPr>
          <w:rFonts w:hint="eastAsia" w:ascii="仿宋_GB2312" w:hAnsi="仿宋_GB2312" w:eastAsia="仿宋_GB2312" w:cs="仿宋_GB2312"/>
          <w:kern w:val="0"/>
          <w:sz w:val="32"/>
          <w:szCs w:val="32"/>
        </w:rPr>
        <w:t>。</w:t>
      </w:r>
    </w:p>
    <w:p w14:paraId="149592A7">
      <w:pPr>
        <w:pStyle w:val="8"/>
        <w:keepNext w:val="0"/>
        <w:keepLines w:val="0"/>
        <w:pageBreakBefore w:val="0"/>
        <w:kinsoku/>
        <w:wordWrap/>
        <w:topLinePunct w:val="0"/>
        <w:autoSpaceDE/>
        <w:autoSpaceDN/>
        <w:bidi w:val="0"/>
        <w:adjustRightInd/>
        <w:snapToGrid/>
        <w:spacing w:line="500" w:lineRule="exact"/>
        <w:ind w:firstLine="640"/>
        <w:textAlignment w:val="auto"/>
        <w:rPr>
          <w:rFonts w:hint="eastAsia" w:ascii="黑体" w:hAnsi="黑体" w:eastAsia="黑体" w:cs="黑体"/>
        </w:rPr>
      </w:pPr>
      <w:r>
        <w:rPr>
          <w:rFonts w:hint="eastAsia" w:ascii="黑体" w:hAnsi="黑体" w:eastAsia="黑体" w:cs="黑体"/>
          <w:lang w:eastAsia="zh-CN"/>
        </w:rPr>
        <w:t>（</w:t>
      </w:r>
      <w:r>
        <w:rPr>
          <w:rFonts w:hint="eastAsia" w:ascii="黑体" w:hAnsi="黑体" w:eastAsia="黑体" w:cs="黑体"/>
          <w:lang w:val="en-US" w:eastAsia="zh-CN"/>
        </w:rPr>
        <w:t>五</w:t>
      </w:r>
      <w:r>
        <w:rPr>
          <w:rFonts w:hint="eastAsia" w:ascii="黑体" w:hAnsi="黑体" w:eastAsia="黑体" w:cs="黑体"/>
          <w:lang w:eastAsia="zh-CN"/>
        </w:rPr>
        <w:t>）</w:t>
      </w:r>
      <w:r>
        <w:rPr>
          <w:rFonts w:ascii="黑体" w:hAnsi="黑体" w:eastAsia="黑体" w:cs="黑体"/>
        </w:rPr>
        <w:t>构建现代化治理体系，全面提升治理效能</w:t>
      </w:r>
    </w:p>
    <w:p w14:paraId="71153379">
      <w:pPr>
        <w:keepNext w:val="0"/>
        <w:keepLines w:val="0"/>
        <w:pageBreakBefore w:val="0"/>
        <w:kinsoku/>
        <w:wordWrap/>
        <w:topLinePunct w:val="0"/>
        <w:autoSpaceDE/>
        <w:autoSpaceDN/>
        <w:bidi w:val="0"/>
        <w:adjustRightInd/>
        <w:snapToGrid/>
        <w:spacing w:line="500" w:lineRule="exact"/>
        <w:ind w:firstLine="643" w:firstLineChars="200"/>
        <w:textAlignment w:val="auto"/>
        <w:rPr>
          <w:rFonts w:ascii="Times New Roman" w:hAnsi="Times New Roman" w:eastAsia="仿宋_GB2312" w:cs="Times New Roman"/>
          <w:kern w:val="0"/>
          <w:sz w:val="32"/>
          <w:szCs w:val="32"/>
        </w:rPr>
      </w:pPr>
      <w:r>
        <w:rPr>
          <w:rFonts w:hint="eastAsia" w:ascii="楷体_GB2312" w:hAnsi="楷体_GB2312" w:eastAsia="楷体_GB2312" w:cs="楷体_GB2312"/>
          <w:b/>
          <w:color w:val="000000"/>
          <w:kern w:val="0"/>
          <w:sz w:val="32"/>
          <w:szCs w:val="32"/>
          <w:lang w:val="en-US" w:eastAsia="zh-CN"/>
        </w:rPr>
        <w:t>一是</w:t>
      </w:r>
      <w:r>
        <w:rPr>
          <w:rFonts w:ascii="楷体_GB2312" w:hAnsi="楷体_GB2312" w:eastAsia="楷体_GB2312" w:cs="楷体_GB2312"/>
          <w:b/>
          <w:color w:val="000000"/>
          <w:kern w:val="0"/>
          <w:sz w:val="32"/>
          <w:szCs w:val="32"/>
        </w:rPr>
        <w:t>治理效能显著提升</w:t>
      </w:r>
      <w:r>
        <w:rPr>
          <w:rFonts w:hint="eastAsia" w:ascii="楷体_GB2312" w:hAnsi="楷体_GB2312" w:eastAsia="楷体_GB2312" w:cs="楷体_GB2312"/>
          <w:b/>
          <w:color w:val="000000"/>
          <w:kern w:val="0"/>
          <w:sz w:val="32"/>
          <w:szCs w:val="32"/>
          <w:lang w:eastAsia="zh-CN"/>
        </w:rPr>
        <w:t>。</w:t>
      </w:r>
      <w:r>
        <w:rPr>
          <w:rFonts w:hint="eastAsia" w:ascii="仿宋_GB2312" w:hAnsi="仿宋_GB2312" w:eastAsia="仿宋_GB2312" w:cs="仿宋_GB2312"/>
          <w:b/>
          <w:color w:val="000000"/>
          <w:kern w:val="0"/>
          <w:sz w:val="32"/>
          <w:szCs w:val="32"/>
        </w:rPr>
        <w:t>1.</w:t>
      </w:r>
      <w:r>
        <w:rPr>
          <w:rFonts w:ascii="仿宋_GB2312" w:hAnsi="仿宋_GB2312" w:eastAsia="仿宋_GB2312" w:cs="仿宋_GB2312"/>
          <w:b/>
          <w:color w:val="000000"/>
          <w:kern w:val="0"/>
          <w:sz w:val="32"/>
          <w:szCs w:val="32"/>
        </w:rPr>
        <w:t>以绩效考核为引领，激发发展活力</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Cs/>
          <w:color w:val="000000"/>
          <w:kern w:val="0"/>
          <w:sz w:val="32"/>
          <w:szCs w:val="32"/>
        </w:rPr>
        <w:t>规范</w:t>
      </w:r>
      <w:r>
        <w:rPr>
          <w:rFonts w:hint="eastAsia" w:ascii="仿宋_GB2312" w:hAnsi="仿宋_GB2312" w:eastAsia="仿宋_GB2312" w:cs="仿宋_GB2312"/>
          <w:bCs/>
          <w:color w:val="000000"/>
          <w:sz w:val="32"/>
          <w:szCs w:val="32"/>
          <w:shd w:val="clear" w:color="auto" w:fill="FFFFFF"/>
        </w:rPr>
        <w:t>议事决策程序，</w:t>
      </w:r>
      <w:r>
        <w:rPr>
          <w:rFonts w:hint="eastAsia" w:ascii="仿宋_GB2312" w:hAnsi="仿宋_GB2312" w:eastAsia="仿宋_GB2312" w:cs="仿宋_GB2312"/>
          <w:bCs/>
          <w:color w:val="000000"/>
          <w:kern w:val="0"/>
          <w:sz w:val="32"/>
          <w:szCs w:val="32"/>
        </w:rPr>
        <w:t>落实“三重一大”决策制度实施办法，全年召开党委会35次。</w:t>
      </w:r>
      <w:r>
        <w:rPr>
          <w:rFonts w:hint="eastAsia" w:ascii="Times New Roman" w:hAnsi="Times New Roman" w:eastAsia="仿宋_GB2312" w:cs="Times New Roman"/>
          <w:spacing w:val="-6"/>
          <w:sz w:val="32"/>
          <w:szCs w:val="32"/>
        </w:rPr>
        <w:t>以“破五唯”为导向，以深化教育评价改革为指引，圆满完成省属事业单位绩效考核。以过程管理和结果导向为原则，初次试行学院内部绩效考核，客观评估各部门年度工作情况与工作业绩，理顺内部关系，激发发展活力。</w:t>
      </w:r>
      <w:r>
        <w:rPr>
          <w:rFonts w:hint="eastAsia" w:ascii="仿宋_GB2312" w:hAnsi="仿宋_GB2312" w:eastAsia="仿宋_GB2312" w:cs="仿宋_GB2312"/>
          <w:b/>
          <w:bCs/>
          <w:sz w:val="32"/>
          <w:szCs w:val="32"/>
        </w:rPr>
        <w:t>2.完善制度体系，明确工作重点。</w:t>
      </w:r>
      <w:r>
        <w:rPr>
          <w:rFonts w:hint="eastAsia" w:ascii="仿宋_GB2312" w:hAnsi="仿宋_GB2312" w:eastAsia="仿宋_GB2312" w:cs="仿宋_GB2312"/>
          <w:sz w:val="32"/>
          <w:szCs w:val="32"/>
        </w:rPr>
        <w:t>积极探索制度创新，</w:t>
      </w:r>
      <w:r>
        <w:rPr>
          <w:rFonts w:hint="eastAsia" w:ascii="仿宋_GB2312" w:hAnsi="仿宋_GB2312" w:eastAsia="仿宋_GB2312" w:cs="仿宋_GB2312"/>
          <w:spacing w:val="-6"/>
          <w:sz w:val="32"/>
          <w:szCs w:val="32"/>
        </w:rPr>
        <w:t>进一步规范落实挂职锻炼管理办法、兼职教师聘用及管理办法等，</w:t>
      </w:r>
      <w:r>
        <w:rPr>
          <w:rFonts w:hint="eastAsia" w:ascii="仿宋_GB2312" w:hAnsi="仿宋_GB2312" w:eastAsia="仿宋_GB2312" w:cs="仿宋_GB2312"/>
          <w:sz w:val="32"/>
          <w:szCs w:val="32"/>
        </w:rPr>
        <w:t>更新出台2023年度《山东旅游职业学院制度汇编》。着手制定学院综合工作实施方案，明确改革内容、责任部门和完成时限，启动学院综合改革工作。推动落实学院“十四五”发展目标，制定《山东旅游职业学院2024年工作要点》，全年共列出重点督办事项110项，</w:t>
      </w:r>
      <w:r>
        <w:rPr>
          <w:rFonts w:hint="eastAsia" w:ascii="仿宋_GB2312" w:hAnsi="仿宋" w:eastAsia="仿宋_GB2312"/>
          <w:sz w:val="32"/>
          <w:szCs w:val="32"/>
        </w:rPr>
        <w:t>创新完善推进落实办法，</w:t>
      </w:r>
      <w:r>
        <w:rPr>
          <w:rFonts w:hint="eastAsia" w:ascii="仿宋_GB2312" w:hAnsi="仿宋_GB2312" w:eastAsia="仿宋_GB2312" w:cs="仿宋_GB2312"/>
          <w:sz w:val="32"/>
          <w:szCs w:val="32"/>
        </w:rPr>
        <w:t>现已全部办结。</w:t>
      </w:r>
      <w:r>
        <w:rPr>
          <w:rFonts w:hint="eastAsia" w:ascii="仿宋_GB2312" w:hAnsi="仿宋_GB2312" w:eastAsia="仿宋_GB2312" w:cs="仿宋_GB2312"/>
          <w:b/>
          <w:bCs/>
          <w:sz w:val="32"/>
          <w:szCs w:val="32"/>
        </w:rPr>
        <w:t>3.强化法治建设，提升治理效能。</w:t>
      </w:r>
      <w:r>
        <w:rPr>
          <w:rFonts w:ascii="Times New Roman" w:hAnsi="Times New Roman" w:eastAsia="仿宋_GB2312" w:cs="Times New Roman"/>
          <w:bCs/>
          <w:kern w:val="0"/>
          <w:sz w:val="32"/>
          <w:szCs w:val="32"/>
        </w:rPr>
        <w:t>制</w:t>
      </w:r>
      <w:r>
        <w:rPr>
          <w:rFonts w:ascii="Times New Roman" w:hAnsi="Times New Roman" w:eastAsia="仿宋_GB2312" w:cs="Times New Roman"/>
          <w:kern w:val="0"/>
          <w:sz w:val="32"/>
          <w:szCs w:val="32"/>
        </w:rPr>
        <w:t>定《全面加强学校法治工作的实施方案》，建立立体化法治工作体系和法律咨询援助机构，提升队伍专业素养和工作能力。</w:t>
      </w:r>
    </w:p>
    <w:p w14:paraId="1C25A9FF">
      <w:pPr>
        <w:keepNext w:val="0"/>
        <w:keepLines w:val="0"/>
        <w:pageBreakBefore w:val="0"/>
        <w:widowControl/>
        <w:kinsoku/>
        <w:wordWrap/>
        <w:topLinePunct w:val="0"/>
        <w:autoSpaceDE/>
        <w:autoSpaceDN/>
        <w:bidi w:val="0"/>
        <w:adjustRightInd/>
        <w:snapToGrid/>
        <w:spacing w:line="500" w:lineRule="exact"/>
        <w:ind w:firstLine="619" w:firstLineChars="200"/>
        <w:textAlignment w:val="auto"/>
        <w:rPr>
          <w:rFonts w:ascii="Times New Roman" w:hAnsi="Times New Roman" w:eastAsia="仿宋_GB2312" w:cs="Times New Roman"/>
          <w:kern w:val="0"/>
          <w:sz w:val="32"/>
          <w:szCs w:val="32"/>
        </w:rPr>
      </w:pPr>
      <w:r>
        <w:rPr>
          <w:rFonts w:hint="eastAsia" w:ascii="楷体_GB2312" w:hAnsi="楷体_GB2312" w:eastAsia="楷体_GB2312" w:cs="楷体_GB2312"/>
          <w:b/>
          <w:bCs/>
          <w:spacing w:val="-6"/>
          <w:sz w:val="32"/>
          <w:szCs w:val="32"/>
          <w:lang w:val="en-US" w:eastAsia="zh-CN"/>
        </w:rPr>
        <w:t>二是</w:t>
      </w:r>
      <w:r>
        <w:rPr>
          <w:rFonts w:hint="eastAsia" w:ascii="楷体_GB2312" w:hAnsi="楷体_GB2312" w:eastAsia="楷体_GB2312" w:cs="楷体_GB2312"/>
          <w:b/>
          <w:bCs/>
          <w:spacing w:val="-6"/>
          <w:sz w:val="32"/>
          <w:szCs w:val="32"/>
        </w:rPr>
        <w:t>管理效率持续优化</w:t>
      </w:r>
      <w:r>
        <w:rPr>
          <w:rFonts w:hint="eastAsia" w:ascii="楷体_GB2312" w:hAnsi="楷体_GB2312" w:eastAsia="楷体_GB2312" w:cs="楷体_GB2312"/>
          <w:b/>
          <w:bCs/>
          <w:spacing w:val="-6"/>
          <w:sz w:val="32"/>
          <w:szCs w:val="32"/>
          <w:lang w:eastAsia="zh-CN"/>
        </w:rPr>
        <w:t>。</w:t>
      </w:r>
      <w:r>
        <w:rPr>
          <w:rFonts w:hint="eastAsia" w:ascii="Times New Roman" w:hAnsi="Times New Roman" w:eastAsia="仿宋_GB2312" w:cs="Times New Roman"/>
          <w:spacing w:val="-6"/>
          <w:sz w:val="32"/>
          <w:szCs w:val="32"/>
        </w:rPr>
        <w:t>1.</w:t>
      </w:r>
      <w:r>
        <w:rPr>
          <w:rFonts w:ascii="Segoe UI" w:hAnsi="Segoe UI" w:cs="Segoe UI"/>
          <w:color w:val="05073B"/>
          <w:sz w:val="23"/>
          <w:szCs w:val="23"/>
          <w:shd w:val="clear" w:color="auto" w:fill="FDFDFE"/>
        </w:rPr>
        <w:t xml:space="preserve"> </w:t>
      </w:r>
      <w:r>
        <w:rPr>
          <w:rFonts w:ascii="Times New Roman" w:hAnsi="Times New Roman" w:eastAsia="仿宋_GB2312" w:cs="Times New Roman"/>
          <w:b/>
          <w:bCs/>
          <w:spacing w:val="-6"/>
          <w:sz w:val="32"/>
          <w:szCs w:val="32"/>
        </w:rPr>
        <w:t>优化人</w:t>
      </w:r>
      <w:r>
        <w:rPr>
          <w:rFonts w:hint="eastAsia" w:ascii="Times New Roman" w:hAnsi="Times New Roman" w:eastAsia="仿宋_GB2312" w:cs="Times New Roman"/>
          <w:b/>
          <w:bCs/>
          <w:spacing w:val="-6"/>
          <w:sz w:val="32"/>
          <w:szCs w:val="32"/>
          <w:lang w:val="en-US" w:eastAsia="zh-CN"/>
        </w:rPr>
        <w:t>才</w:t>
      </w:r>
      <w:r>
        <w:rPr>
          <w:rFonts w:ascii="Times New Roman" w:hAnsi="Times New Roman" w:eastAsia="仿宋_GB2312" w:cs="Times New Roman"/>
          <w:b/>
          <w:bCs/>
          <w:spacing w:val="-6"/>
          <w:sz w:val="32"/>
          <w:szCs w:val="32"/>
        </w:rPr>
        <w:t>资源配置</w:t>
      </w:r>
      <w:r>
        <w:rPr>
          <w:rFonts w:hint="eastAsia" w:ascii="Times New Roman" w:hAnsi="Times New Roman" w:eastAsia="仿宋_GB2312" w:cs="Times New Roman"/>
          <w:b/>
          <w:bCs/>
          <w:spacing w:val="-6"/>
          <w:sz w:val="32"/>
          <w:szCs w:val="32"/>
        </w:rPr>
        <w:t>。</w:t>
      </w:r>
      <w:r>
        <w:rPr>
          <w:rFonts w:eastAsia="仿宋_GB2312"/>
          <w:color w:val="000000"/>
          <w:kern w:val="0"/>
          <w:sz w:val="32"/>
          <w:szCs w:val="32"/>
        </w:rPr>
        <w:t>全年召开人才会议10次</w:t>
      </w:r>
      <w:r>
        <w:rPr>
          <w:rFonts w:hint="eastAsia" w:eastAsia="仿宋_GB2312"/>
          <w:color w:val="000000"/>
          <w:kern w:val="0"/>
          <w:sz w:val="32"/>
          <w:szCs w:val="32"/>
        </w:rPr>
        <w:t>，</w:t>
      </w:r>
      <w:r>
        <w:rPr>
          <w:rFonts w:eastAsia="仿宋_GB2312"/>
          <w:sz w:val="32"/>
          <w:szCs w:val="32"/>
        </w:rPr>
        <w:t>实施党委书记人才工作项</w:t>
      </w:r>
      <w:r>
        <w:rPr>
          <w:rFonts w:eastAsia="仿宋_GB2312"/>
          <w:color w:val="000000"/>
          <w:kern w:val="0"/>
          <w:sz w:val="32"/>
          <w:szCs w:val="32"/>
        </w:rPr>
        <w:t>目，党委书记与专家人才开展交流座谈会。</w:t>
      </w:r>
      <w:r>
        <w:rPr>
          <w:rFonts w:eastAsia="仿宋_GB2312"/>
          <w:sz w:val="32"/>
          <w:szCs w:val="32"/>
        </w:rPr>
        <w:t>建立</w:t>
      </w:r>
      <w:r>
        <w:rPr>
          <w:rFonts w:eastAsia="仿宋_GB2312"/>
          <w:color w:val="000000"/>
          <w:kern w:val="0"/>
          <w:sz w:val="32"/>
          <w:szCs w:val="32"/>
        </w:rPr>
        <w:t>党委联系服务专家制度，党委领导班子成员每人联系1名以上高层次人才，建立谈心谈话制度。</w:t>
      </w:r>
      <w:r>
        <w:rPr>
          <w:rFonts w:hint="eastAsia" w:ascii="仿宋_GB2312" w:hAnsi="仿宋_GB2312" w:eastAsia="仿宋_GB2312" w:cs="仿宋_GB2312"/>
          <w:spacing w:val="-6"/>
          <w:sz w:val="32"/>
          <w:szCs w:val="32"/>
        </w:rPr>
        <w:t>加快人才引育进程，通过</w:t>
      </w:r>
      <w:r>
        <w:rPr>
          <w:rFonts w:hint="eastAsia" w:ascii="仿宋_GB2312" w:hAnsi="仿宋_GB2312" w:eastAsia="仿宋_GB2312" w:cs="仿宋_GB2312"/>
          <w:color w:val="000000"/>
          <w:kern w:val="0"/>
          <w:sz w:val="32"/>
          <w:szCs w:val="32"/>
        </w:rPr>
        <w:t>公开招聘引进各类人才20名，培养校内省级骨干教师2名。</w:t>
      </w:r>
      <w:r>
        <w:rPr>
          <w:rFonts w:ascii="Times New Roman" w:hAnsi="Times New Roman" w:eastAsia="仿宋_GB2312" w:cs="Times New Roman"/>
          <w:spacing w:val="-6"/>
          <w:sz w:val="32"/>
          <w:szCs w:val="32"/>
          <w:highlight w:val="none"/>
        </w:rPr>
        <w:t>修订</w:t>
      </w:r>
      <w:r>
        <w:rPr>
          <w:rFonts w:hint="eastAsia" w:ascii="Times New Roman" w:hAnsi="Times New Roman" w:eastAsia="仿宋_GB2312" w:cs="Times New Roman"/>
          <w:spacing w:val="-6"/>
          <w:sz w:val="32"/>
          <w:szCs w:val="32"/>
          <w:highlight w:val="none"/>
          <w:lang w:val="en-US" w:eastAsia="zh-CN"/>
        </w:rPr>
        <w:t>完善</w:t>
      </w:r>
      <w:r>
        <w:rPr>
          <w:rFonts w:ascii="Times New Roman" w:hAnsi="Times New Roman" w:eastAsia="仿宋_GB2312" w:cs="Times New Roman"/>
          <w:spacing w:val="-6"/>
          <w:sz w:val="32"/>
          <w:szCs w:val="32"/>
          <w:highlight w:val="none"/>
        </w:rPr>
        <w:t>职称评聘管理办法，</w:t>
      </w:r>
      <w:r>
        <w:rPr>
          <w:rFonts w:hint="eastAsia" w:ascii="Times New Roman" w:hAnsi="Times New Roman" w:eastAsia="仿宋_GB2312" w:cs="Times New Roman"/>
          <w:spacing w:val="-6"/>
          <w:sz w:val="32"/>
          <w:szCs w:val="32"/>
          <w:highlight w:val="none"/>
          <w:lang w:val="en-US" w:eastAsia="zh-CN"/>
        </w:rPr>
        <w:t>新晋职称82人。</w:t>
      </w:r>
      <w:r>
        <w:rPr>
          <w:rFonts w:hint="eastAsia" w:ascii="Times New Roman" w:hAnsi="Times New Roman" w:eastAsia="仿宋_GB2312" w:cs="Times New Roman"/>
          <w:spacing w:val="-6"/>
          <w:sz w:val="32"/>
          <w:szCs w:val="32"/>
          <w:lang w:val="en-US" w:eastAsia="zh-CN"/>
        </w:rPr>
        <w:t>积极开展第二轮岗位聘期考核，以及第四轮岗位聘用，</w:t>
      </w:r>
      <w:r>
        <w:rPr>
          <w:rFonts w:ascii="Times New Roman" w:hAnsi="Times New Roman" w:eastAsia="仿宋_GB2312" w:cs="Times New Roman"/>
          <w:spacing w:val="-6"/>
          <w:sz w:val="32"/>
          <w:szCs w:val="32"/>
        </w:rPr>
        <w:t>培育高素质教师队伍。</w:t>
      </w:r>
      <w:r>
        <w:rPr>
          <w:rFonts w:hint="eastAsia" w:ascii="Times New Roman" w:hAnsi="Times New Roman" w:eastAsia="仿宋_GB2312" w:cs="Times New Roman"/>
          <w:spacing w:val="-6"/>
          <w:sz w:val="32"/>
          <w:szCs w:val="32"/>
          <w:lang w:val="en-US" w:eastAsia="zh-CN"/>
        </w:rPr>
        <w:t>奖励性绩效额按时核算发放，实现新一轮工资普涨</w:t>
      </w:r>
      <w:r>
        <w:rPr>
          <w:rFonts w:hint="eastAsia" w:ascii="Times New Roman" w:hAnsi="Times New Roman" w:eastAsia="仿宋_GB2312" w:cs="Times New Roman"/>
          <w:spacing w:val="-4"/>
          <w:sz w:val="32"/>
          <w:szCs w:val="32"/>
        </w:rPr>
        <w:t>。</w:t>
      </w:r>
      <w:r>
        <w:rPr>
          <w:rFonts w:hint="eastAsia" w:ascii="Times New Roman" w:hAnsi="Times New Roman" w:eastAsia="仿宋_GB2312" w:cs="Times New Roman"/>
          <w:kern w:val="0"/>
          <w:sz w:val="32"/>
          <w:szCs w:val="32"/>
        </w:rPr>
        <w:t>2.</w:t>
      </w:r>
      <w:r>
        <w:rPr>
          <w:rFonts w:hint="eastAsia" w:ascii="Times New Roman" w:hAnsi="Times New Roman" w:eastAsia="仿宋_GB2312" w:cs="Times New Roman"/>
          <w:b/>
          <w:bCs/>
          <w:spacing w:val="-6"/>
          <w:sz w:val="32"/>
          <w:szCs w:val="32"/>
        </w:rPr>
        <w:t>提升财务透明度。</w:t>
      </w:r>
      <w:r>
        <w:rPr>
          <w:rFonts w:hint="eastAsia" w:ascii="Times New Roman" w:hAnsi="Times New Roman" w:eastAsia="仿宋_GB2312" w:cs="Times New Roman"/>
          <w:spacing w:val="-6"/>
          <w:sz w:val="32"/>
          <w:szCs w:val="32"/>
        </w:rPr>
        <w:t>完善财务内控体系，强化预算执行监督，确保资金使用高效合规。</w:t>
      </w:r>
      <w:r>
        <w:rPr>
          <w:rFonts w:hint="eastAsia" w:ascii="Times New Roman" w:hAnsi="Times New Roman" w:eastAsia="仿宋_GB2312" w:cs="Times New Roman"/>
          <w:kern w:val="0"/>
          <w:sz w:val="32"/>
          <w:szCs w:val="32"/>
        </w:rPr>
        <w:t>2024年收支平衡，完成万笔账务处理。</w:t>
      </w:r>
      <w:r>
        <w:rPr>
          <w:rFonts w:ascii="Times New Roman" w:hAnsi="Times New Roman" w:eastAsia="仿宋_GB2312" w:cs="Times New Roman"/>
          <w:kern w:val="0"/>
          <w:sz w:val="32"/>
          <w:szCs w:val="32"/>
        </w:rPr>
        <w:t>实施预算项目生命周期管理，</w:t>
      </w:r>
      <w:r>
        <w:rPr>
          <w:rFonts w:hint="eastAsia" w:ascii="Times New Roman" w:hAnsi="Times New Roman" w:eastAsia="仿宋_GB2312" w:cs="Times New Roman"/>
          <w:kern w:val="0"/>
          <w:sz w:val="32"/>
          <w:szCs w:val="32"/>
        </w:rPr>
        <w:t>执行率达99%，保障资金需求。资金管理稳健，拓宽筹资渠道，确保资金安全。收费管理有序，收费率达95%以上，保障教育事业收入。</w:t>
      </w:r>
      <w:r>
        <w:rPr>
          <w:rFonts w:hint="eastAsia" w:ascii="Times New Roman" w:hAnsi="Times New Roman" w:eastAsia="仿宋_GB2312" w:cs="Times New Roman"/>
          <w:spacing w:val="-6"/>
          <w:sz w:val="32"/>
          <w:szCs w:val="32"/>
        </w:rPr>
        <w:t>3.</w:t>
      </w:r>
      <w:r>
        <w:rPr>
          <w:rFonts w:hint="eastAsia" w:ascii="Times New Roman" w:hAnsi="Times New Roman" w:eastAsia="仿宋_GB2312" w:cs="Times New Roman"/>
          <w:b/>
          <w:bCs/>
          <w:spacing w:val="-6"/>
          <w:sz w:val="32"/>
          <w:szCs w:val="32"/>
        </w:rPr>
        <w:t>规范资产管理流程。</w:t>
      </w:r>
      <w:r>
        <w:rPr>
          <w:rFonts w:hint="eastAsia" w:ascii="Times New Roman" w:hAnsi="Times New Roman" w:eastAsia="仿宋_GB2312" w:cs="Times New Roman"/>
          <w:kern w:val="0"/>
          <w:sz w:val="32"/>
          <w:szCs w:val="32"/>
        </w:rPr>
        <w:t>及时录入审核资产，完成资产清查，提高使用效率。国有资产处置依法高效，2024年处置资产1600项，收入89023元上缴财政。设立公物仓，优化闲置资产调配，共完成24次跨部门资产调剂。按时提交资产绩效评价和各类报表，确保信息准确。政府采购工作顺利完成，121个项目预算金额10878.95万元，确保采购公平公正。5号学生公寓建设项目持续推进，完成保泉意见办理、规划报批、概算审批等关键步骤，确保项目顺利进行。</w:t>
      </w:r>
    </w:p>
    <w:p w14:paraId="3DA27960">
      <w:pPr>
        <w:keepNext w:val="0"/>
        <w:keepLines w:val="0"/>
        <w:pageBreakBefore w:val="0"/>
        <w:widowControl/>
        <w:kinsoku/>
        <w:wordWrap/>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color w:val="000000"/>
          <w:sz w:val="32"/>
          <w:szCs w:val="32"/>
          <w:lang w:val="en-US" w:eastAsia="zh-CN"/>
        </w:rPr>
        <w:t>三是</w:t>
      </w:r>
      <w:r>
        <w:rPr>
          <w:rFonts w:hint="eastAsia" w:ascii="楷体_GB2312" w:hAnsi="楷体_GB2312" w:eastAsia="楷体_GB2312" w:cs="楷体_GB2312"/>
          <w:b/>
          <w:bCs/>
          <w:color w:val="000000"/>
          <w:sz w:val="32"/>
          <w:szCs w:val="32"/>
        </w:rPr>
        <w:t>后勤保障平稳高效</w:t>
      </w:r>
      <w:r>
        <w:rPr>
          <w:rFonts w:hint="eastAsia" w:ascii="楷体_GB2312" w:hAnsi="楷体_GB2312" w:eastAsia="楷体_GB2312" w:cs="楷体_GB2312"/>
          <w:b/>
          <w:bCs/>
          <w:color w:val="000000"/>
          <w:sz w:val="32"/>
          <w:szCs w:val="32"/>
          <w:lang w:eastAsia="zh-CN"/>
        </w:rPr>
        <w:t>。</w:t>
      </w:r>
      <w:r>
        <w:rPr>
          <w:rFonts w:hint="eastAsia" w:ascii="仿宋_GB2312" w:hAnsi="仿宋_GB2312" w:eastAsia="仿宋_GB2312" w:cs="仿宋_GB2312"/>
          <w:b/>
          <w:bCs/>
          <w:color w:val="000000"/>
          <w:sz w:val="32"/>
          <w:szCs w:val="32"/>
        </w:rPr>
        <w:t>1.优化提升办学条件。</w:t>
      </w:r>
      <w:r>
        <w:rPr>
          <w:rFonts w:hint="eastAsia" w:ascii="仿宋_GB2312" w:hAnsi="仿宋_GB2312" w:eastAsia="仿宋_GB2312" w:cs="仿宋_GB2312"/>
          <w:color w:val="000000"/>
          <w:sz w:val="32"/>
          <w:szCs w:val="32"/>
        </w:rPr>
        <w:t>加强食品安全管理，严格把控食材采购、加工流程，全年未发生食品安全事故。提升修缮校园基础设施，开展2号学生公寓整体改造、主干道沥青铺设等大型修缮工程5项，零星维修工程23处，紧急维修30处。优化校园环境，绿化面积增加10%，增设垃圾分类设施，营造整洁有序的校园氛围。完善医疗服务体系，提升校园医务室服务水平，配备专业医护人员，提供24小时应急服务。更新购置两辆新公务车，保障学院公务顺利开展。</w:t>
      </w:r>
      <w:r>
        <w:rPr>
          <w:rFonts w:hint="eastAsia" w:ascii="仿宋_GB2312" w:hAnsi="仿宋_GB2312" w:eastAsia="仿宋_GB2312" w:cs="仿宋_GB2312"/>
          <w:b/>
          <w:bCs/>
          <w:sz w:val="32"/>
          <w:szCs w:val="32"/>
        </w:rPr>
        <w:t>2.提升安全治理实效。</w:t>
      </w:r>
      <w:r>
        <w:rPr>
          <w:rFonts w:hint="eastAsia" w:ascii="仿宋_GB2312" w:hAnsi="仿宋_GB2312" w:eastAsia="仿宋_GB2312" w:cs="仿宋_GB2312"/>
          <w:sz w:val="32"/>
          <w:szCs w:val="32"/>
        </w:rPr>
        <w:t>召开专题会议研究修订《校园安全管理规定》，</w:t>
      </w:r>
      <w:r>
        <w:rPr>
          <w:rFonts w:hint="eastAsia" w:ascii="Times New Roman" w:hAnsi="Times New Roman" w:eastAsia="仿宋_GB2312" w:cs="Times New Roman"/>
          <w:sz w:val="32"/>
          <w:szCs w:val="32"/>
        </w:rPr>
        <w:t>校园安全建设方面投入资金468万元，同比增加300多万，增长270%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推进“校园天眼”工程建设，实现与省教育厅平台对接。学院大门口和学生公寓出入口闸机以及归寝查房实现人脸识别系统一体化。通过智能管控对教学区域人车分流，机动车辆、电瓶车禁止驶入。无学校安全责任事故。</w:t>
      </w:r>
    </w:p>
    <w:p w14:paraId="7C84147E">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、资产损益情况</w:t>
      </w:r>
    </w:p>
    <w:p w14:paraId="07C13AD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2024年度，我单位上年度结余8116048.77元，本年度收入187439179.6元，本年度支出188705380.87元。</w:t>
      </w:r>
    </w:p>
    <w:p w14:paraId="0D99E377">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三、绩效和受奖惩情况 </w:t>
      </w:r>
    </w:p>
    <w:p w14:paraId="6371BA8E">
      <w:pPr>
        <w:spacing w:line="560" w:lineRule="exact"/>
        <w:ind w:firstLine="640" w:firstLineChars="200"/>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1.山东省教育厅：第八届全国学生“学宪法 讲宪法”活动总决赛最佳组织单位</w:t>
      </w:r>
    </w:p>
    <w:p w14:paraId="45C8F0FF">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2.山东省精品旅游促进会：2023年度先进单位，山东省“技能兴鲁”职业技能大赛--2024年全省研学旅行指导师职业技能竞赛</w:t>
      </w:r>
    </w:p>
    <w:p w14:paraId="7CA938D9">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3.山东省人社厅 共青团省委 省红十会：2023年山东省高校无偿献血表现突出集体</w:t>
      </w:r>
    </w:p>
    <w:p w14:paraId="3E706B72">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4.山东省文旅厅 省纪委驻省文旅厅检查组：第二届“齐风鲁韵 铸魂化人”艺术党课和廉洁文化建设视频优秀组织单位 </w:t>
      </w:r>
    </w:p>
    <w:p w14:paraId="7DB0A61C">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5.全国高校商业精英挑战赛组委会：2023-2024年度全国高校商业精英挑战赛山东省赛区学科竞赛</w:t>
      </w:r>
    </w:p>
    <w:p w14:paraId="06AF1ABA">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6.山东省物业管理行业职业技能竞赛组织委员会：山东省技能兴鲁职业技能大赛第五届山东省物业管理行业职业技能竞赛   团体三等奖 优秀组织奖</w:t>
      </w:r>
    </w:p>
    <w:p w14:paraId="76010348">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6796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0C9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7B0C9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zk4OGFjOWM1NzJhODZmNGVmYzUwZjdhNzlhYjcifQ=="/>
  </w:docVars>
  <w:rsids>
    <w:rsidRoot w:val="29951563"/>
    <w:rsid w:val="09934694"/>
    <w:rsid w:val="0E892CDB"/>
    <w:rsid w:val="1277445A"/>
    <w:rsid w:val="17E3743F"/>
    <w:rsid w:val="180D57B8"/>
    <w:rsid w:val="192B3098"/>
    <w:rsid w:val="278E39F3"/>
    <w:rsid w:val="29951563"/>
    <w:rsid w:val="35446E64"/>
    <w:rsid w:val="3AED0B7E"/>
    <w:rsid w:val="3FDC5DCB"/>
    <w:rsid w:val="414A5F02"/>
    <w:rsid w:val="44370937"/>
    <w:rsid w:val="63424B1E"/>
    <w:rsid w:val="635A49E6"/>
    <w:rsid w:val="68B907BE"/>
    <w:rsid w:val="6C2471CC"/>
    <w:rsid w:val="6CF748E0"/>
    <w:rsid w:val="72106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仿宋_GB2312" w:hAnsi="仿宋_GB2312" w:eastAsia="仿宋_GB2312"/>
      <w:kern w:val="44"/>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unhideWhenUsed/>
    <w:qFormat/>
    <w:uiPriority w:val="99"/>
    <w:pPr>
      <w:spacing w:after="120"/>
    </w:pPr>
  </w:style>
  <w:style w:type="paragraph" w:styleId="4">
    <w:name w:val="List 2"/>
    <w:basedOn w:val="1"/>
    <w:autoRedefine/>
    <w:qFormat/>
    <w:uiPriority w:val="0"/>
    <w:pPr>
      <w:ind w:left="100" w:leftChars="200" w:hanging="200" w:hanging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next w:val="1"/>
    <w:autoRedefine/>
    <w:qFormat/>
    <w:uiPriority w:val="0"/>
    <w:pPr>
      <w:widowControl w:val="0"/>
      <w:jc w:val="both"/>
    </w:pPr>
    <w:rPr>
      <w:rFonts w:ascii="Calibri" w:hAnsi="Calibri" w:eastAsia="宋体" w:cs="Times New Roman"/>
      <w:kern w:val="2"/>
      <w:sz w:val="21"/>
      <w:szCs w:val="24"/>
      <w:lang w:val="en-US" w:eastAsia="zh-CN" w:bidi="ar-SA"/>
    </w:rPr>
  </w:style>
  <w:style w:type="paragraph" w:styleId="8">
    <w:name w:val="Body Text First Indent"/>
    <w:basedOn w:val="3"/>
    <w:autoRedefine/>
    <w:qFormat/>
    <w:uiPriority w:val="0"/>
    <w:pPr>
      <w:overflowPunct w:val="0"/>
      <w:spacing w:after="0" w:line="600" w:lineRule="exact"/>
      <w:ind w:firstLine="880" w:firstLineChars="200"/>
    </w:pPr>
    <w:rPr>
      <w:rFonts w:eastAsia="仿宋_GB2312" w:cs="仿宋_GB2312"/>
      <w:sz w:val="32"/>
      <w:szCs w:val="32"/>
    </w:rPr>
  </w:style>
  <w:style w:type="character" w:styleId="11">
    <w:name w:val="Strong"/>
    <w:basedOn w:val="10"/>
    <w:autoRedefine/>
    <w:qFormat/>
    <w:uiPriority w:val="22"/>
    <w:rPr>
      <w:b/>
      <w:bCs/>
    </w:rPr>
  </w:style>
  <w:style w:type="character" w:customStyle="1" w:styleId="12">
    <w:name w:val="NormalCharacter"/>
    <w:link w:val="13"/>
    <w:autoRedefine/>
    <w:qFormat/>
    <w:uiPriority w:val="0"/>
    <w:rPr>
      <w:kern w:val="0"/>
      <w:sz w:val="20"/>
      <w:szCs w:val="20"/>
    </w:rPr>
  </w:style>
  <w:style w:type="paragraph" w:customStyle="1" w:styleId="13">
    <w:name w:val="UserStyle_0"/>
    <w:basedOn w:val="1"/>
    <w:link w:val="12"/>
    <w:autoRedefine/>
    <w:qFormat/>
    <w:uiPriority w:val="0"/>
    <w:pPr>
      <w:widowControl/>
      <w:textAlignment w:val="baseline"/>
    </w:pPr>
    <w:rPr>
      <w:kern w:val="0"/>
      <w:sz w:val="20"/>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5361</Words>
  <Characters>5635</Characters>
  <Lines>0</Lines>
  <Paragraphs>0</Paragraphs>
  <TotalTime>25</TotalTime>
  <ScaleCrop>false</ScaleCrop>
  <LinksUpToDate>false</LinksUpToDate>
  <CharactersWithSpaces>5641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2023-02-24T02:59:00Z</dcterms:created>
  <dc:creator>张林清</dc:creator>
  <cp:lastModifiedBy>ZLQ</cp:lastModifiedBy>
  <dcterms:modified xsi:type="dcterms:W3CDTF">2025-03-04T01:57:19Z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1C48D6DA197A4185B7ECD427167F828A_13</vt:lpwstr>
  </property>
  <property fmtid="{D5CDD505-2E9C-101B-9397-08002B2CF9AE}" pid="4" name="KSOTemplateDocerSaveRecord">
    <vt:lpwstr>eyJoZGlkIjoiZDkwYzk4OGFjOWM1NzJhODZmNGVmYzUwZjdhNzlhYjciLCJ1c2VySWQiOiIyODE3NzAwMjYifQ==</vt:lpwstr>
  </property>
</Properties>
</file>